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6" w:type="dxa"/>
        <w:tblInd w:w="-572" w:type="dxa"/>
        <w:tblLook w:val="04A0" w:firstRow="1" w:lastRow="0" w:firstColumn="1" w:lastColumn="0" w:noHBand="0" w:noVBand="1"/>
      </w:tblPr>
      <w:tblGrid>
        <w:gridCol w:w="1276"/>
        <w:gridCol w:w="8222"/>
        <w:gridCol w:w="5528"/>
      </w:tblGrid>
      <w:tr w:rsidR="00CC3152" w:rsidRPr="004C46DC" w14:paraId="1A7F3889" w14:textId="77777777" w:rsidTr="005A6244">
        <w:tc>
          <w:tcPr>
            <w:tcW w:w="15026" w:type="dxa"/>
            <w:gridSpan w:val="3"/>
            <w:shd w:val="clear" w:color="auto" w:fill="CCC0D9" w:themeFill="accent4" w:themeFillTint="66"/>
          </w:tcPr>
          <w:p w14:paraId="15488767" w14:textId="14D84003" w:rsidR="00503D5D" w:rsidRPr="006A2D1D" w:rsidRDefault="00624BDC" w:rsidP="00503D5D">
            <w:pPr>
              <w:rPr>
                <w:rFonts w:cs="Arial"/>
                <w:b/>
                <w:bCs/>
                <w:sz w:val="20"/>
                <w:szCs w:val="20"/>
              </w:rPr>
            </w:pPr>
            <w:r w:rsidRPr="00916DCF">
              <w:rPr>
                <w:rFonts w:cs="Arial"/>
                <w:b/>
                <w:bCs/>
                <w:szCs w:val="24"/>
              </w:rPr>
              <w:t>Summary of Government Guidance</w:t>
            </w:r>
            <w:r w:rsidR="005A6244" w:rsidRPr="00916DCF">
              <w:rPr>
                <w:rFonts w:cs="Arial"/>
                <w:b/>
                <w:bCs/>
                <w:szCs w:val="24"/>
              </w:rPr>
              <w:t xml:space="preserve">: </w:t>
            </w:r>
            <w:r w:rsidRPr="00916DCF">
              <w:rPr>
                <w:rFonts w:cs="Arial"/>
                <w:b/>
                <w:bCs/>
                <w:szCs w:val="24"/>
              </w:rPr>
              <w:t>Education and childcare settings: New National Restrictions from 5 November 2020</w:t>
            </w:r>
            <w:r w:rsidR="005A6244" w:rsidRPr="00916DCF">
              <w:rPr>
                <w:rFonts w:cs="Arial"/>
                <w:b/>
                <w:bCs/>
                <w:szCs w:val="24"/>
              </w:rPr>
              <w:t xml:space="preserve"> - </w:t>
            </w:r>
            <w:r w:rsidRPr="00916DCF">
              <w:rPr>
                <w:rFonts w:cs="Arial"/>
                <w:b/>
                <w:bCs/>
                <w:szCs w:val="24"/>
              </w:rPr>
              <w:t>for School</w:t>
            </w:r>
            <w:r w:rsidR="005A6244" w:rsidRPr="00916DCF">
              <w:rPr>
                <w:rFonts w:cs="Arial"/>
                <w:b/>
                <w:bCs/>
                <w:szCs w:val="24"/>
              </w:rPr>
              <w:t>s</w:t>
            </w:r>
            <w:r w:rsidRPr="00916DCF">
              <w:rPr>
                <w:rFonts w:cs="Arial"/>
                <w:b/>
                <w:bCs/>
                <w:szCs w:val="24"/>
              </w:rPr>
              <w:t xml:space="preserve"> and Out of School activities and wrap-around childcare. </w:t>
            </w:r>
            <w:r w:rsidR="00503D5D" w:rsidRPr="00916DCF">
              <w:rPr>
                <w:rFonts w:cs="Arial"/>
                <w:szCs w:val="24"/>
              </w:rPr>
              <w:t>The full guidance can be found</w:t>
            </w:r>
            <w:r w:rsidR="00503D5D" w:rsidRPr="00916DCF">
              <w:rPr>
                <w:rFonts w:cs="Arial"/>
                <w:b/>
                <w:bCs/>
                <w:szCs w:val="24"/>
              </w:rPr>
              <w:t xml:space="preserve"> </w:t>
            </w:r>
            <w:hyperlink r:id="rId8" w:history="1">
              <w:r w:rsidR="00503D5D" w:rsidRPr="00916DCF">
                <w:rPr>
                  <w:rStyle w:val="Hyperlink"/>
                  <w:rFonts w:cs="Arial"/>
                  <w:szCs w:val="24"/>
                </w:rPr>
                <w:t>here</w:t>
              </w:r>
            </w:hyperlink>
          </w:p>
        </w:tc>
      </w:tr>
      <w:tr w:rsidR="007C5085" w:rsidRPr="004C46DC" w14:paraId="0B0725E8" w14:textId="77777777" w:rsidTr="005A6244">
        <w:tc>
          <w:tcPr>
            <w:tcW w:w="1276" w:type="dxa"/>
            <w:shd w:val="clear" w:color="auto" w:fill="CCC0D9" w:themeFill="accent4" w:themeFillTint="66"/>
          </w:tcPr>
          <w:p w14:paraId="49A8FEC3" w14:textId="77777777" w:rsidR="007C5085" w:rsidRPr="004C46DC" w:rsidRDefault="007C5085">
            <w:pPr>
              <w:rPr>
                <w:rFonts w:cs="Arial"/>
                <w:b/>
                <w:bCs/>
                <w:sz w:val="20"/>
                <w:szCs w:val="20"/>
              </w:rPr>
            </w:pPr>
          </w:p>
        </w:tc>
        <w:tc>
          <w:tcPr>
            <w:tcW w:w="8222" w:type="dxa"/>
            <w:shd w:val="clear" w:color="auto" w:fill="CCC0D9" w:themeFill="accent4" w:themeFillTint="66"/>
          </w:tcPr>
          <w:p w14:paraId="73426D0E" w14:textId="77777777" w:rsidR="007C5085" w:rsidRPr="004C46DC" w:rsidRDefault="007C5085">
            <w:pPr>
              <w:rPr>
                <w:rFonts w:cs="Arial"/>
                <w:b/>
                <w:bCs/>
                <w:sz w:val="20"/>
                <w:szCs w:val="20"/>
              </w:rPr>
            </w:pPr>
            <w:r w:rsidRPr="004C46DC">
              <w:rPr>
                <w:rFonts w:cs="Arial"/>
                <w:b/>
                <w:bCs/>
                <w:sz w:val="20"/>
                <w:szCs w:val="20"/>
              </w:rPr>
              <w:t>Schools</w:t>
            </w:r>
          </w:p>
        </w:tc>
        <w:tc>
          <w:tcPr>
            <w:tcW w:w="5528" w:type="dxa"/>
            <w:shd w:val="clear" w:color="auto" w:fill="CCC0D9" w:themeFill="accent4" w:themeFillTint="66"/>
          </w:tcPr>
          <w:p w14:paraId="565EB9B5" w14:textId="78CC4A3F" w:rsidR="007C5085" w:rsidRPr="004C46DC" w:rsidRDefault="006A2D1D">
            <w:pPr>
              <w:rPr>
                <w:rFonts w:cs="Arial"/>
                <w:b/>
                <w:bCs/>
                <w:sz w:val="20"/>
                <w:szCs w:val="20"/>
              </w:rPr>
            </w:pPr>
            <w:r w:rsidRPr="006A2D1D">
              <w:rPr>
                <w:rFonts w:cs="Arial"/>
                <w:b/>
                <w:bCs/>
                <w:sz w:val="20"/>
                <w:szCs w:val="20"/>
              </w:rPr>
              <w:t>Out-of-school activities and wraparound childcare</w:t>
            </w:r>
          </w:p>
        </w:tc>
      </w:tr>
      <w:tr w:rsidR="007C5085" w:rsidRPr="004C46DC" w14:paraId="45654476" w14:textId="77777777" w:rsidTr="005A6244">
        <w:tc>
          <w:tcPr>
            <w:tcW w:w="1276" w:type="dxa"/>
            <w:shd w:val="clear" w:color="auto" w:fill="E5DFEC" w:themeFill="accent4" w:themeFillTint="33"/>
          </w:tcPr>
          <w:p w14:paraId="2C45DDE5" w14:textId="77777777" w:rsidR="007C5085" w:rsidRPr="00970BD4" w:rsidRDefault="007C5085">
            <w:pPr>
              <w:rPr>
                <w:rFonts w:cs="Arial"/>
                <w:b/>
                <w:bCs/>
                <w:sz w:val="20"/>
                <w:szCs w:val="20"/>
              </w:rPr>
            </w:pPr>
            <w:r w:rsidRPr="00970BD4">
              <w:rPr>
                <w:rFonts w:cs="Arial"/>
                <w:b/>
                <w:bCs/>
                <w:sz w:val="20"/>
                <w:szCs w:val="20"/>
              </w:rPr>
              <w:t>General</w:t>
            </w:r>
          </w:p>
        </w:tc>
        <w:tc>
          <w:tcPr>
            <w:tcW w:w="8222" w:type="dxa"/>
          </w:tcPr>
          <w:p w14:paraId="0F5E5EE7" w14:textId="07737E91" w:rsidR="007C5085" w:rsidRPr="00F93E32" w:rsidRDefault="00F93E32" w:rsidP="00F93E32">
            <w:pPr>
              <w:pStyle w:val="ListParagraph"/>
              <w:numPr>
                <w:ilvl w:val="0"/>
                <w:numId w:val="8"/>
              </w:numPr>
              <w:spacing w:after="300"/>
              <w:rPr>
                <w:rFonts w:eastAsia="Times New Roman" w:cstheme="minorHAnsi"/>
                <w:color w:val="0B0C0C"/>
                <w:sz w:val="20"/>
                <w:szCs w:val="20"/>
                <w:lang w:eastAsia="en-GB"/>
              </w:rPr>
            </w:pPr>
            <w:r>
              <w:rPr>
                <w:rFonts w:eastAsia="Times New Roman" w:cstheme="minorHAnsi"/>
                <w:color w:val="0B0C0C"/>
                <w:sz w:val="20"/>
                <w:szCs w:val="20"/>
                <w:lang w:eastAsia="en-GB"/>
              </w:rPr>
              <w:t>Continue</w:t>
            </w:r>
            <w:r w:rsidR="007C5085" w:rsidRPr="00F93E32">
              <w:rPr>
                <w:rFonts w:eastAsia="Times New Roman" w:cstheme="minorHAnsi"/>
                <w:color w:val="0B0C0C"/>
                <w:sz w:val="20"/>
                <w:szCs w:val="20"/>
                <w:lang w:eastAsia="en-GB"/>
              </w:rPr>
              <w:t xml:space="preserve"> to remain open for all children and young people as they have since the start of the autumn term for the duration of the national restrictions.</w:t>
            </w:r>
          </w:p>
          <w:p w14:paraId="24F3032D" w14:textId="6AE3494F" w:rsidR="007C5085" w:rsidRPr="00F93E32" w:rsidRDefault="00F93E32" w:rsidP="00F93E32">
            <w:pPr>
              <w:pStyle w:val="ListParagraph"/>
              <w:numPr>
                <w:ilvl w:val="0"/>
                <w:numId w:val="8"/>
              </w:numPr>
              <w:spacing w:before="300" w:after="300"/>
              <w:rPr>
                <w:rFonts w:eastAsia="Times New Roman" w:cstheme="minorHAnsi"/>
                <w:color w:val="0B0C0C"/>
                <w:sz w:val="20"/>
                <w:szCs w:val="20"/>
                <w:lang w:eastAsia="en-GB"/>
              </w:rPr>
            </w:pPr>
            <w:r>
              <w:rPr>
                <w:rFonts w:eastAsia="Times New Roman" w:cstheme="minorHAnsi"/>
                <w:color w:val="0B0C0C"/>
                <w:sz w:val="20"/>
                <w:szCs w:val="20"/>
                <w:lang w:eastAsia="en-GB"/>
              </w:rPr>
              <w:t>Continue</w:t>
            </w:r>
            <w:r w:rsidR="007C5085" w:rsidRPr="00F93E32">
              <w:rPr>
                <w:rFonts w:eastAsia="Times New Roman" w:cstheme="minorHAnsi"/>
                <w:color w:val="0B0C0C"/>
                <w:sz w:val="20"/>
                <w:szCs w:val="20"/>
                <w:lang w:eastAsia="en-GB"/>
              </w:rPr>
              <w:t xml:space="preserve"> to undertake risk assessments and implement the system of controls set out in </w:t>
            </w:r>
            <w:r w:rsidR="00980C6E">
              <w:rPr>
                <w:rFonts w:eastAsia="Times New Roman" w:cstheme="minorHAnsi"/>
                <w:color w:val="0B0C0C"/>
                <w:sz w:val="20"/>
                <w:szCs w:val="20"/>
                <w:lang w:eastAsia="en-GB"/>
              </w:rPr>
              <w:t xml:space="preserve">the </w:t>
            </w:r>
            <w:r w:rsidR="007C5085" w:rsidRPr="00F93E32">
              <w:rPr>
                <w:rFonts w:eastAsia="Times New Roman" w:cstheme="minorHAnsi"/>
                <w:color w:val="0B0C0C"/>
                <w:sz w:val="20"/>
                <w:szCs w:val="20"/>
                <w:lang w:eastAsia="en-GB"/>
              </w:rPr>
              <w:t xml:space="preserve">guidance. </w:t>
            </w:r>
          </w:p>
          <w:p w14:paraId="19CD8CCC" w14:textId="3DDAD069" w:rsidR="007C5085" w:rsidRPr="00F93E32" w:rsidRDefault="00F93E32" w:rsidP="00F93E32">
            <w:pPr>
              <w:pStyle w:val="ListParagraph"/>
              <w:numPr>
                <w:ilvl w:val="0"/>
                <w:numId w:val="8"/>
              </w:numPr>
              <w:spacing w:before="300" w:after="300"/>
              <w:rPr>
                <w:rFonts w:eastAsia="Times New Roman" w:cstheme="minorHAnsi"/>
                <w:color w:val="0B0C0C"/>
                <w:sz w:val="20"/>
                <w:szCs w:val="20"/>
                <w:lang w:eastAsia="en-GB"/>
              </w:rPr>
            </w:pPr>
            <w:r>
              <w:rPr>
                <w:rFonts w:eastAsia="Times New Roman" w:cstheme="minorHAnsi"/>
                <w:color w:val="0B0C0C"/>
                <w:sz w:val="20"/>
                <w:szCs w:val="20"/>
                <w:lang w:eastAsia="en-GB"/>
              </w:rPr>
              <w:t>Ensure</w:t>
            </w:r>
            <w:r w:rsidR="007C5085" w:rsidRPr="00F93E32">
              <w:rPr>
                <w:rFonts w:eastAsia="Times New Roman" w:cstheme="minorHAnsi"/>
                <w:color w:val="0B0C0C"/>
                <w:sz w:val="20"/>
                <w:szCs w:val="20"/>
                <w:lang w:eastAsia="en-GB"/>
              </w:rPr>
              <w:t xml:space="preserve"> any changes required </w:t>
            </w:r>
            <w:proofErr w:type="gramStart"/>
            <w:r w:rsidR="007C5085" w:rsidRPr="00F93E32">
              <w:rPr>
                <w:rFonts w:eastAsia="Times New Roman" w:cstheme="minorHAnsi"/>
                <w:color w:val="0B0C0C"/>
                <w:sz w:val="20"/>
                <w:szCs w:val="20"/>
                <w:lang w:eastAsia="en-GB"/>
              </w:rPr>
              <w:t>in light of</w:t>
            </w:r>
            <w:proofErr w:type="gramEnd"/>
            <w:r w:rsidR="007C5085" w:rsidRPr="00F93E32">
              <w:rPr>
                <w:rFonts w:eastAsia="Times New Roman" w:cstheme="minorHAnsi"/>
                <w:color w:val="0B0C0C"/>
                <w:sz w:val="20"/>
                <w:szCs w:val="20"/>
                <w:lang w:eastAsia="en-GB"/>
              </w:rPr>
              <w:t xml:space="preserve"> national restrictions are in place as soon as practically possible, and by Monday 9 November at the latest.</w:t>
            </w:r>
          </w:p>
          <w:p w14:paraId="7D9F3177" w14:textId="77777777" w:rsidR="007C5085" w:rsidRPr="004C46DC" w:rsidRDefault="007C5085">
            <w:pPr>
              <w:rPr>
                <w:rFonts w:cs="Arial"/>
                <w:sz w:val="20"/>
                <w:szCs w:val="20"/>
              </w:rPr>
            </w:pPr>
          </w:p>
        </w:tc>
        <w:tc>
          <w:tcPr>
            <w:tcW w:w="5528" w:type="dxa"/>
          </w:tcPr>
          <w:p w14:paraId="0E603E43" w14:textId="00C97B25" w:rsidR="007C5085" w:rsidRPr="007A3FEF" w:rsidRDefault="006A2D1D" w:rsidP="007A3FEF">
            <w:pPr>
              <w:pStyle w:val="ListParagraph"/>
              <w:numPr>
                <w:ilvl w:val="0"/>
                <w:numId w:val="8"/>
              </w:numPr>
              <w:rPr>
                <w:rFonts w:eastAsia="Times New Roman" w:cstheme="minorHAnsi"/>
                <w:color w:val="0B0C0C"/>
                <w:sz w:val="20"/>
                <w:szCs w:val="20"/>
                <w:lang w:eastAsia="en-GB"/>
              </w:rPr>
            </w:pPr>
            <w:r w:rsidRPr="00065B1A">
              <w:rPr>
                <w:rFonts w:eastAsia="Times New Roman" w:cstheme="minorHAnsi"/>
                <w:color w:val="0B0C0C"/>
                <w:sz w:val="20"/>
                <w:szCs w:val="20"/>
                <w:lang w:eastAsia="en-GB"/>
              </w:rPr>
              <w:t>May</w:t>
            </w:r>
            <w:r w:rsidR="007C5085" w:rsidRPr="00065B1A">
              <w:rPr>
                <w:rFonts w:eastAsia="Times New Roman" w:cstheme="minorHAnsi"/>
                <w:color w:val="0B0C0C"/>
                <w:sz w:val="20"/>
                <w:szCs w:val="20"/>
                <w:lang w:eastAsia="en-GB"/>
              </w:rPr>
              <w:t xml:space="preserve"> continue to operate if </w:t>
            </w:r>
            <w:r w:rsidRPr="00065B1A">
              <w:rPr>
                <w:rFonts w:eastAsia="Times New Roman" w:cstheme="minorHAnsi"/>
                <w:color w:val="0B0C0C"/>
                <w:sz w:val="20"/>
                <w:szCs w:val="20"/>
                <w:lang w:eastAsia="en-GB"/>
              </w:rPr>
              <w:t>the</w:t>
            </w:r>
            <w:r w:rsidR="007C5085" w:rsidRPr="00065B1A">
              <w:rPr>
                <w:rFonts w:eastAsia="Times New Roman" w:cstheme="minorHAnsi"/>
                <w:color w:val="0B0C0C"/>
                <w:sz w:val="20"/>
                <w:szCs w:val="20"/>
                <w:lang w:eastAsia="en-GB"/>
              </w:rPr>
              <w:t xml:space="preserve"> primary purpose is providing registered childcare, </w:t>
            </w:r>
            <w:r w:rsidR="00D53465">
              <w:rPr>
                <w:rFonts w:eastAsia="Times New Roman" w:cstheme="minorHAnsi"/>
                <w:color w:val="0B0C0C"/>
                <w:sz w:val="20"/>
                <w:szCs w:val="20"/>
                <w:lang w:eastAsia="en-GB"/>
              </w:rPr>
              <w:t xml:space="preserve">or </w:t>
            </w:r>
            <w:r w:rsidR="007C5085" w:rsidRPr="00065B1A">
              <w:rPr>
                <w:rFonts w:eastAsia="Times New Roman" w:cstheme="minorHAnsi"/>
                <w:color w:val="0B0C0C"/>
                <w:sz w:val="20"/>
                <w:szCs w:val="20"/>
                <w:lang w:eastAsia="en-GB"/>
              </w:rPr>
              <w:t>other childcare activities, where this is reasonably necessary to enable parents to</w:t>
            </w:r>
            <w:r w:rsidR="007A3FEF">
              <w:rPr>
                <w:rFonts w:eastAsia="Times New Roman" w:cstheme="minorHAnsi"/>
                <w:color w:val="0B0C0C"/>
                <w:sz w:val="20"/>
                <w:szCs w:val="20"/>
                <w:lang w:eastAsia="en-GB"/>
              </w:rPr>
              <w:t xml:space="preserve"> </w:t>
            </w:r>
            <w:r w:rsidR="007C5085" w:rsidRPr="007A3FEF">
              <w:rPr>
                <w:rFonts w:eastAsia="Times New Roman" w:cstheme="minorHAnsi"/>
                <w:color w:val="0B0C0C"/>
                <w:sz w:val="20"/>
                <w:szCs w:val="20"/>
                <w:lang w:eastAsia="en-GB"/>
              </w:rPr>
              <w:t>work</w:t>
            </w:r>
            <w:r w:rsidR="002737BF">
              <w:rPr>
                <w:rFonts w:eastAsia="Times New Roman" w:cstheme="minorHAnsi"/>
                <w:color w:val="0B0C0C"/>
                <w:sz w:val="20"/>
                <w:szCs w:val="20"/>
                <w:lang w:eastAsia="en-GB"/>
              </w:rPr>
              <w:t xml:space="preserve">, </w:t>
            </w:r>
            <w:r w:rsidR="007C5085" w:rsidRPr="007A3FEF">
              <w:rPr>
                <w:rFonts w:eastAsia="Times New Roman" w:cstheme="minorHAnsi"/>
                <w:color w:val="0B0C0C"/>
                <w:sz w:val="20"/>
                <w:szCs w:val="20"/>
                <w:lang w:eastAsia="en-GB"/>
              </w:rPr>
              <w:t>search for work</w:t>
            </w:r>
            <w:r w:rsidR="007A3FEF">
              <w:rPr>
                <w:rFonts w:eastAsia="Times New Roman" w:cstheme="minorHAnsi"/>
                <w:color w:val="0B0C0C"/>
                <w:sz w:val="20"/>
                <w:szCs w:val="20"/>
                <w:lang w:eastAsia="en-GB"/>
              </w:rPr>
              <w:t xml:space="preserve"> or </w:t>
            </w:r>
            <w:r w:rsidR="007C5085" w:rsidRPr="007A3FEF">
              <w:rPr>
                <w:rFonts w:eastAsia="Times New Roman" w:cstheme="minorHAnsi"/>
                <w:color w:val="0B0C0C"/>
                <w:sz w:val="20"/>
                <w:szCs w:val="20"/>
                <w:lang w:eastAsia="en-GB"/>
              </w:rPr>
              <w:t>undertake training or education</w:t>
            </w:r>
            <w:r w:rsidR="002737BF">
              <w:rPr>
                <w:rFonts w:eastAsia="Times New Roman" w:cstheme="minorHAnsi"/>
                <w:color w:val="0B0C0C"/>
                <w:sz w:val="20"/>
                <w:szCs w:val="20"/>
                <w:lang w:eastAsia="en-GB"/>
              </w:rPr>
              <w:t>.</w:t>
            </w:r>
          </w:p>
          <w:p w14:paraId="20AB5589" w14:textId="28B54F43" w:rsidR="00453466" w:rsidRPr="00065B1A" w:rsidRDefault="00453466" w:rsidP="00065B1A">
            <w:pPr>
              <w:pStyle w:val="ListParagraph"/>
              <w:numPr>
                <w:ilvl w:val="0"/>
                <w:numId w:val="8"/>
              </w:numPr>
              <w:rPr>
                <w:rFonts w:eastAsia="Times New Roman" w:cstheme="minorHAnsi"/>
                <w:color w:val="0B0C0C"/>
                <w:sz w:val="20"/>
                <w:szCs w:val="20"/>
                <w:lang w:eastAsia="en-GB"/>
              </w:rPr>
            </w:pPr>
            <w:r w:rsidRPr="00065B1A">
              <w:rPr>
                <w:rFonts w:eastAsia="Times New Roman" w:cstheme="minorHAnsi"/>
                <w:color w:val="0B0C0C"/>
                <w:sz w:val="20"/>
                <w:szCs w:val="20"/>
                <w:lang w:eastAsia="en-GB"/>
              </w:rPr>
              <w:t>May</w:t>
            </w:r>
            <w:r w:rsidR="007C5085" w:rsidRPr="00065B1A">
              <w:rPr>
                <w:rFonts w:eastAsia="Times New Roman" w:cstheme="minorHAnsi"/>
                <w:color w:val="0B0C0C"/>
                <w:sz w:val="20"/>
                <w:szCs w:val="20"/>
                <w:lang w:eastAsia="en-GB"/>
              </w:rPr>
              <w:t xml:space="preserve"> </w:t>
            </w:r>
            <w:r w:rsidRPr="00065B1A">
              <w:rPr>
                <w:rFonts w:eastAsia="Times New Roman" w:cstheme="minorHAnsi"/>
                <w:color w:val="0B0C0C"/>
                <w:sz w:val="20"/>
                <w:szCs w:val="20"/>
                <w:lang w:eastAsia="en-GB"/>
              </w:rPr>
              <w:t xml:space="preserve">also </w:t>
            </w:r>
            <w:r w:rsidR="007C5085" w:rsidRPr="00065B1A">
              <w:rPr>
                <w:rFonts w:eastAsia="Times New Roman" w:cstheme="minorHAnsi"/>
                <w:color w:val="0B0C0C"/>
                <w:sz w:val="20"/>
                <w:szCs w:val="20"/>
                <w:lang w:eastAsia="en-GB"/>
              </w:rPr>
              <w:t>continue to operate</w:t>
            </w:r>
            <w:r w:rsidRPr="00065B1A">
              <w:rPr>
                <w:rFonts w:eastAsia="Times New Roman" w:cstheme="minorHAnsi"/>
                <w:color w:val="0B0C0C"/>
                <w:sz w:val="20"/>
                <w:szCs w:val="20"/>
                <w:lang w:eastAsia="en-GB"/>
              </w:rPr>
              <w:t>:</w:t>
            </w:r>
            <w:r w:rsidR="007C5085" w:rsidRPr="00065B1A">
              <w:rPr>
                <w:rFonts w:eastAsia="Times New Roman" w:cstheme="minorHAnsi"/>
                <w:color w:val="0B0C0C"/>
                <w:sz w:val="20"/>
                <w:szCs w:val="20"/>
                <w:lang w:eastAsia="en-GB"/>
              </w:rPr>
              <w:t xml:space="preserve"> </w:t>
            </w:r>
          </w:p>
          <w:p w14:paraId="1D41422B" w14:textId="2821313E" w:rsidR="007C5085" w:rsidRPr="00453466" w:rsidRDefault="00542F1A" w:rsidP="007C5085">
            <w:pPr>
              <w:pStyle w:val="ListParagraph"/>
              <w:numPr>
                <w:ilvl w:val="0"/>
                <w:numId w:val="9"/>
              </w:numPr>
              <w:spacing w:before="300" w:after="300"/>
              <w:rPr>
                <w:rFonts w:eastAsia="Times New Roman" w:cstheme="minorHAnsi"/>
                <w:color w:val="0B0C0C"/>
                <w:sz w:val="20"/>
                <w:szCs w:val="20"/>
                <w:lang w:eastAsia="en-GB"/>
              </w:rPr>
            </w:pPr>
            <w:r>
              <w:rPr>
                <w:rFonts w:eastAsia="Times New Roman" w:cstheme="minorHAnsi"/>
                <w:color w:val="0B0C0C"/>
                <w:sz w:val="20"/>
                <w:szCs w:val="20"/>
                <w:lang w:eastAsia="en-GB"/>
              </w:rPr>
              <w:t>F</w:t>
            </w:r>
            <w:r w:rsidR="007C5085" w:rsidRPr="00453466">
              <w:rPr>
                <w:rFonts w:eastAsia="Times New Roman" w:cstheme="minorHAnsi"/>
                <w:color w:val="0B0C0C"/>
                <w:sz w:val="20"/>
                <w:szCs w:val="20"/>
                <w:lang w:eastAsia="en-GB"/>
              </w:rPr>
              <w:t>or the purposes of respite care, including for vulnerable children.</w:t>
            </w:r>
          </w:p>
          <w:p w14:paraId="6B943D71" w14:textId="774383ED" w:rsidR="007C5085" w:rsidRPr="00542F1A" w:rsidRDefault="00542F1A" w:rsidP="00542F1A">
            <w:pPr>
              <w:pStyle w:val="ListParagraph"/>
              <w:numPr>
                <w:ilvl w:val="0"/>
                <w:numId w:val="9"/>
              </w:numPr>
              <w:spacing w:before="300" w:after="300"/>
              <w:rPr>
                <w:rFonts w:eastAsia="Times New Roman" w:cstheme="minorHAnsi"/>
                <w:color w:val="0B0C0C"/>
                <w:sz w:val="20"/>
                <w:szCs w:val="20"/>
                <w:lang w:eastAsia="en-GB"/>
              </w:rPr>
            </w:pPr>
            <w:r>
              <w:rPr>
                <w:rFonts w:eastAsia="Times New Roman" w:cstheme="minorHAnsi"/>
                <w:color w:val="0B0C0C"/>
                <w:sz w:val="20"/>
                <w:szCs w:val="20"/>
                <w:lang w:eastAsia="en-GB"/>
              </w:rPr>
              <w:t>A</w:t>
            </w:r>
            <w:r w:rsidR="007C5085" w:rsidRPr="00542F1A">
              <w:rPr>
                <w:rFonts w:eastAsia="Times New Roman" w:cstheme="minorHAnsi"/>
                <w:color w:val="0B0C0C"/>
                <w:sz w:val="20"/>
                <w:szCs w:val="20"/>
                <w:lang w:eastAsia="en-GB"/>
              </w:rPr>
              <w:t xml:space="preserve">ctivities used by home educating parents as part of their arrangements for their child to receive a suitable full-time education </w:t>
            </w:r>
          </w:p>
          <w:p w14:paraId="49A62E72" w14:textId="77777777" w:rsidR="00065B1A" w:rsidRDefault="007C5085" w:rsidP="001370B9">
            <w:pPr>
              <w:pStyle w:val="ListParagraph"/>
              <w:numPr>
                <w:ilvl w:val="0"/>
                <w:numId w:val="9"/>
              </w:numPr>
              <w:spacing w:before="300" w:after="300"/>
              <w:rPr>
                <w:rFonts w:eastAsia="Times New Roman" w:cstheme="minorHAnsi"/>
                <w:color w:val="0B0C0C"/>
                <w:sz w:val="20"/>
                <w:szCs w:val="20"/>
                <w:lang w:eastAsia="en-GB"/>
              </w:rPr>
            </w:pPr>
            <w:r w:rsidRPr="00065B1A">
              <w:rPr>
                <w:rFonts w:eastAsia="Times New Roman" w:cstheme="minorHAnsi"/>
                <w:color w:val="0B0C0C"/>
                <w:sz w:val="20"/>
                <w:szCs w:val="20"/>
                <w:lang w:eastAsia="en-GB"/>
              </w:rPr>
              <w:t>Youth support services, including 1-1 youth work and support groups</w:t>
            </w:r>
          </w:p>
          <w:p w14:paraId="701A7893" w14:textId="7729DA30" w:rsidR="00946DBB" w:rsidRDefault="00946DBB" w:rsidP="00946DBB">
            <w:pPr>
              <w:pStyle w:val="ListParagraph"/>
              <w:numPr>
                <w:ilvl w:val="0"/>
                <w:numId w:val="9"/>
              </w:numPr>
              <w:spacing w:before="300" w:after="300"/>
              <w:ind w:left="432" w:hanging="432"/>
              <w:rPr>
                <w:rFonts w:eastAsia="Times New Roman" w:cstheme="minorHAnsi"/>
                <w:color w:val="0B0C0C"/>
                <w:sz w:val="20"/>
                <w:szCs w:val="20"/>
                <w:lang w:eastAsia="en-GB"/>
              </w:rPr>
            </w:pPr>
            <w:r>
              <w:rPr>
                <w:rFonts w:eastAsia="Times New Roman" w:cstheme="minorHAnsi"/>
                <w:color w:val="0B0C0C"/>
                <w:sz w:val="20"/>
                <w:szCs w:val="20"/>
                <w:lang w:eastAsia="en-GB"/>
              </w:rPr>
              <w:t>Continue</w:t>
            </w:r>
            <w:r w:rsidR="007C5085" w:rsidRPr="00065B1A">
              <w:rPr>
                <w:rFonts w:eastAsia="Times New Roman" w:cstheme="minorHAnsi"/>
                <w:color w:val="0B0C0C"/>
                <w:sz w:val="20"/>
                <w:szCs w:val="20"/>
                <w:lang w:eastAsia="en-GB"/>
              </w:rPr>
              <w:t xml:space="preserve"> to undertake risk assessments </w:t>
            </w:r>
            <w:r w:rsidR="00C035D4">
              <w:rPr>
                <w:rFonts w:eastAsia="Times New Roman" w:cstheme="minorHAnsi"/>
                <w:color w:val="0B0C0C"/>
                <w:sz w:val="20"/>
                <w:szCs w:val="20"/>
                <w:lang w:eastAsia="en-GB"/>
              </w:rPr>
              <w:t xml:space="preserve">in </w:t>
            </w:r>
            <w:r w:rsidR="00331E51">
              <w:rPr>
                <w:rFonts w:eastAsia="Times New Roman" w:cstheme="minorHAnsi"/>
                <w:color w:val="0B0C0C"/>
                <w:sz w:val="20"/>
                <w:szCs w:val="20"/>
                <w:lang w:eastAsia="en-GB"/>
              </w:rPr>
              <w:t>existing</w:t>
            </w:r>
            <w:r w:rsidR="00C035D4">
              <w:rPr>
                <w:rFonts w:eastAsia="Times New Roman" w:cstheme="minorHAnsi"/>
                <w:color w:val="0B0C0C"/>
                <w:sz w:val="20"/>
                <w:szCs w:val="20"/>
                <w:lang w:eastAsia="en-GB"/>
              </w:rPr>
              <w:t xml:space="preserve"> guidance</w:t>
            </w:r>
            <w:r w:rsidR="00E36DB4">
              <w:rPr>
                <w:rFonts w:eastAsia="Times New Roman" w:cstheme="minorHAnsi"/>
                <w:color w:val="0B0C0C"/>
                <w:sz w:val="20"/>
                <w:szCs w:val="20"/>
                <w:lang w:eastAsia="en-GB"/>
              </w:rPr>
              <w:t>.</w:t>
            </w:r>
          </w:p>
          <w:p w14:paraId="3F1FE371" w14:textId="170FAC66" w:rsidR="007C5085" w:rsidRPr="0072276E" w:rsidRDefault="007C5085" w:rsidP="00D35059">
            <w:pPr>
              <w:pStyle w:val="ListParagraph"/>
              <w:numPr>
                <w:ilvl w:val="0"/>
                <w:numId w:val="9"/>
              </w:numPr>
              <w:spacing w:before="300"/>
              <w:ind w:left="432" w:hanging="432"/>
              <w:rPr>
                <w:rFonts w:eastAsia="Times New Roman" w:cstheme="minorHAnsi"/>
                <w:color w:val="0B0C0C"/>
                <w:sz w:val="20"/>
                <w:szCs w:val="20"/>
                <w:lang w:eastAsia="en-GB"/>
              </w:rPr>
            </w:pPr>
            <w:r w:rsidRPr="007C5085">
              <w:rPr>
                <w:rFonts w:eastAsia="Times New Roman" w:cstheme="minorHAnsi"/>
                <w:color w:val="0B0C0C"/>
                <w:sz w:val="20"/>
                <w:szCs w:val="20"/>
                <w:lang w:eastAsia="en-GB"/>
              </w:rPr>
              <w:t>All other out of school activities</w:t>
            </w:r>
            <w:r w:rsidR="00C035D4">
              <w:rPr>
                <w:rFonts w:eastAsia="Times New Roman" w:cstheme="minorHAnsi"/>
                <w:color w:val="0B0C0C"/>
                <w:sz w:val="20"/>
                <w:szCs w:val="20"/>
                <w:lang w:eastAsia="en-GB"/>
              </w:rPr>
              <w:t xml:space="preserve"> </w:t>
            </w:r>
            <w:r w:rsidRPr="007C5085">
              <w:rPr>
                <w:rFonts w:eastAsia="Times New Roman" w:cstheme="minorHAnsi"/>
                <w:color w:val="0B0C0C"/>
                <w:sz w:val="20"/>
                <w:szCs w:val="20"/>
                <w:lang w:eastAsia="en-GB"/>
              </w:rPr>
              <w:t>should close for face-to-face provision</w:t>
            </w:r>
            <w:r w:rsidR="00C035D4">
              <w:rPr>
                <w:rFonts w:eastAsia="Times New Roman" w:cstheme="minorHAnsi"/>
                <w:color w:val="0B0C0C"/>
                <w:sz w:val="20"/>
                <w:szCs w:val="20"/>
                <w:lang w:eastAsia="en-GB"/>
              </w:rPr>
              <w:t>.</w:t>
            </w:r>
          </w:p>
        </w:tc>
      </w:tr>
      <w:tr w:rsidR="007C5085" w:rsidRPr="004C46DC" w14:paraId="74E723C9" w14:textId="77777777" w:rsidTr="005A6244">
        <w:tc>
          <w:tcPr>
            <w:tcW w:w="1276" w:type="dxa"/>
            <w:shd w:val="clear" w:color="auto" w:fill="E5DFEC" w:themeFill="accent4" w:themeFillTint="33"/>
          </w:tcPr>
          <w:p w14:paraId="5900379C" w14:textId="77777777" w:rsidR="007C5085" w:rsidRPr="00970BD4" w:rsidRDefault="007C5085">
            <w:pPr>
              <w:rPr>
                <w:rFonts w:cs="Arial"/>
                <w:b/>
                <w:bCs/>
                <w:sz w:val="20"/>
                <w:szCs w:val="20"/>
              </w:rPr>
            </w:pPr>
            <w:r w:rsidRPr="00970BD4">
              <w:rPr>
                <w:rFonts w:cs="Arial"/>
                <w:b/>
                <w:bCs/>
                <w:sz w:val="20"/>
                <w:szCs w:val="20"/>
              </w:rPr>
              <w:t>Face Coverings</w:t>
            </w:r>
          </w:p>
        </w:tc>
        <w:tc>
          <w:tcPr>
            <w:tcW w:w="8222" w:type="dxa"/>
          </w:tcPr>
          <w:p w14:paraId="78624637" w14:textId="1CCC8675" w:rsidR="007C5085" w:rsidRPr="000A1EAD" w:rsidRDefault="0072276E" w:rsidP="000A1EAD">
            <w:pPr>
              <w:pStyle w:val="ListParagraph"/>
              <w:numPr>
                <w:ilvl w:val="0"/>
                <w:numId w:val="6"/>
              </w:numPr>
              <w:spacing w:after="300"/>
              <w:rPr>
                <w:rFonts w:eastAsia="Times New Roman" w:cstheme="minorHAnsi"/>
                <w:color w:val="0B0C0C"/>
                <w:sz w:val="20"/>
                <w:szCs w:val="20"/>
                <w:lang w:eastAsia="en-GB"/>
              </w:rPr>
            </w:pPr>
            <w:r w:rsidRPr="000A1EAD">
              <w:rPr>
                <w:rFonts w:eastAsia="Times New Roman" w:cstheme="minorHAnsi"/>
                <w:b/>
                <w:bCs/>
                <w:color w:val="0B0C0C"/>
                <w:sz w:val="20"/>
                <w:szCs w:val="20"/>
                <w:lang w:eastAsia="en-GB"/>
              </w:rPr>
              <w:t>Primary</w:t>
            </w:r>
            <w:r w:rsidRPr="000A1EAD">
              <w:rPr>
                <w:rFonts w:eastAsia="Times New Roman" w:cstheme="minorHAnsi"/>
                <w:color w:val="0B0C0C"/>
                <w:sz w:val="20"/>
                <w:szCs w:val="20"/>
                <w:lang w:eastAsia="en-GB"/>
              </w:rPr>
              <w:t xml:space="preserve"> - </w:t>
            </w:r>
            <w:r w:rsidR="007C5085" w:rsidRPr="000A1EAD">
              <w:rPr>
                <w:rFonts w:eastAsia="Times New Roman" w:cstheme="minorHAnsi"/>
                <w:color w:val="0B0C0C"/>
                <w:sz w:val="20"/>
                <w:szCs w:val="20"/>
                <w:lang w:eastAsia="en-GB"/>
              </w:rPr>
              <w:t>there is no change to the existing position. It is not mandatory for staff and visitors to wear face coverings. In situations where social distancing between adults in settings is not possible</w:t>
            </w:r>
            <w:r w:rsidR="00286487">
              <w:rPr>
                <w:rFonts w:eastAsia="Times New Roman" w:cstheme="minorHAnsi"/>
                <w:color w:val="0B0C0C"/>
                <w:sz w:val="20"/>
                <w:szCs w:val="20"/>
                <w:lang w:eastAsia="en-GB"/>
              </w:rPr>
              <w:t xml:space="preserve">, </w:t>
            </w:r>
            <w:r w:rsidR="007C5085" w:rsidRPr="000A1EAD">
              <w:rPr>
                <w:rFonts w:eastAsia="Times New Roman" w:cstheme="minorHAnsi"/>
                <w:color w:val="0B0C0C"/>
                <w:sz w:val="20"/>
                <w:szCs w:val="20"/>
                <w:lang w:eastAsia="en-GB"/>
              </w:rPr>
              <w:t>settings have the discretion to recommend the use of face coverings for adults on site, for both staff and visitors.</w:t>
            </w:r>
          </w:p>
          <w:p w14:paraId="6D2CB76B" w14:textId="35A5A277" w:rsidR="007C5085" w:rsidRPr="000A1EAD" w:rsidRDefault="00834B12" w:rsidP="000A1EAD">
            <w:pPr>
              <w:pStyle w:val="ListParagraph"/>
              <w:numPr>
                <w:ilvl w:val="0"/>
                <w:numId w:val="6"/>
              </w:numPr>
              <w:spacing w:before="300" w:after="300"/>
              <w:rPr>
                <w:rFonts w:eastAsia="Times New Roman" w:cstheme="minorHAnsi"/>
                <w:color w:val="0B0C0C"/>
                <w:sz w:val="20"/>
                <w:szCs w:val="20"/>
                <w:lang w:eastAsia="en-GB"/>
              </w:rPr>
            </w:pPr>
            <w:r w:rsidRPr="000A1EAD">
              <w:rPr>
                <w:rFonts w:eastAsia="Times New Roman" w:cstheme="minorHAnsi"/>
                <w:b/>
                <w:bCs/>
                <w:color w:val="0B0C0C"/>
                <w:sz w:val="20"/>
                <w:szCs w:val="20"/>
                <w:lang w:eastAsia="en-GB"/>
              </w:rPr>
              <w:t xml:space="preserve">Secondary </w:t>
            </w:r>
            <w:r w:rsidRPr="000A1EAD">
              <w:rPr>
                <w:rFonts w:eastAsia="Times New Roman" w:cstheme="minorHAnsi"/>
                <w:color w:val="0B0C0C"/>
                <w:sz w:val="20"/>
                <w:szCs w:val="20"/>
                <w:lang w:eastAsia="en-GB"/>
              </w:rPr>
              <w:t>-</w:t>
            </w:r>
            <w:r w:rsidR="007C5085" w:rsidRPr="000A1EAD">
              <w:rPr>
                <w:rFonts w:eastAsia="Times New Roman" w:cstheme="minorHAnsi"/>
                <w:color w:val="0B0C0C"/>
                <w:sz w:val="20"/>
                <w:szCs w:val="20"/>
                <w:lang w:eastAsia="en-GB"/>
              </w:rPr>
              <w:t xml:space="preserve"> face coverings should be worn by adults and pupils when moving around the premises, outside of classrooms, such as in corridors and communal areas where social distancing cannot easily be maintained.</w:t>
            </w:r>
          </w:p>
          <w:p w14:paraId="77457130" w14:textId="6B0975D1" w:rsidR="000E282F" w:rsidRDefault="007C5085" w:rsidP="000E282F">
            <w:pPr>
              <w:pStyle w:val="ListParagraph"/>
              <w:numPr>
                <w:ilvl w:val="0"/>
                <w:numId w:val="6"/>
              </w:numPr>
              <w:spacing w:before="300" w:after="300"/>
              <w:rPr>
                <w:rFonts w:eastAsia="Times New Roman" w:cstheme="minorHAnsi"/>
                <w:color w:val="0B0C0C"/>
                <w:sz w:val="20"/>
                <w:szCs w:val="20"/>
                <w:lang w:eastAsia="en-GB"/>
              </w:rPr>
            </w:pPr>
            <w:r w:rsidRPr="000A1EAD">
              <w:rPr>
                <w:rFonts w:eastAsia="Times New Roman" w:cstheme="minorHAnsi"/>
                <w:color w:val="0B0C0C"/>
                <w:sz w:val="20"/>
                <w:szCs w:val="20"/>
                <w:lang w:eastAsia="en-GB"/>
              </w:rPr>
              <w:t>Some individuals are exempt from wearing face coverings</w:t>
            </w:r>
            <w:r w:rsidR="00E36DB4">
              <w:rPr>
                <w:rFonts w:eastAsia="Times New Roman" w:cstheme="minorHAnsi"/>
                <w:color w:val="0B0C0C"/>
                <w:sz w:val="20"/>
                <w:szCs w:val="20"/>
                <w:lang w:eastAsia="en-GB"/>
              </w:rPr>
              <w:t>.</w:t>
            </w:r>
            <w:r w:rsidRPr="000A1EAD">
              <w:rPr>
                <w:rFonts w:eastAsia="Times New Roman" w:cstheme="minorHAnsi"/>
                <w:color w:val="0B0C0C"/>
                <w:sz w:val="20"/>
                <w:szCs w:val="20"/>
                <w:lang w:eastAsia="en-GB"/>
              </w:rPr>
              <w:t xml:space="preserve"> </w:t>
            </w:r>
          </w:p>
          <w:p w14:paraId="5A4E98B1" w14:textId="3E143845" w:rsidR="007C5085" w:rsidRPr="00D35059" w:rsidRDefault="007C5085" w:rsidP="000E282F">
            <w:pPr>
              <w:pStyle w:val="ListParagraph"/>
              <w:numPr>
                <w:ilvl w:val="0"/>
                <w:numId w:val="6"/>
              </w:numPr>
              <w:spacing w:before="300" w:after="300"/>
              <w:rPr>
                <w:rFonts w:eastAsia="Times New Roman" w:cstheme="minorHAnsi"/>
                <w:color w:val="0B0C0C"/>
                <w:sz w:val="20"/>
                <w:szCs w:val="20"/>
                <w:lang w:eastAsia="en-GB"/>
              </w:rPr>
            </w:pPr>
            <w:r w:rsidRPr="000A1EAD">
              <w:rPr>
                <w:rFonts w:eastAsia="Times New Roman" w:cstheme="minorHAnsi"/>
                <w:color w:val="0B0C0C"/>
                <w:sz w:val="20"/>
                <w:szCs w:val="20"/>
                <w:lang w:eastAsia="en-GB"/>
              </w:rPr>
              <w:t>Face coverings should also be worn by pupils in year 7 and above when travelling on dedicated school transport.</w:t>
            </w:r>
          </w:p>
        </w:tc>
        <w:tc>
          <w:tcPr>
            <w:tcW w:w="5528" w:type="dxa"/>
          </w:tcPr>
          <w:p w14:paraId="1444B584" w14:textId="60573FD0" w:rsidR="007C5085" w:rsidRPr="007A2783" w:rsidRDefault="007A2783" w:rsidP="007A2783">
            <w:pPr>
              <w:pStyle w:val="ListParagraph"/>
              <w:numPr>
                <w:ilvl w:val="0"/>
                <w:numId w:val="7"/>
              </w:numPr>
              <w:spacing w:after="300"/>
              <w:rPr>
                <w:rFonts w:eastAsia="Times New Roman" w:cstheme="minorHAnsi"/>
                <w:color w:val="0B0C0C"/>
                <w:sz w:val="20"/>
                <w:szCs w:val="20"/>
                <w:lang w:eastAsia="en-GB"/>
              </w:rPr>
            </w:pPr>
            <w:r>
              <w:rPr>
                <w:rFonts w:eastAsia="Times New Roman" w:cstheme="minorHAnsi"/>
                <w:color w:val="0B0C0C"/>
                <w:sz w:val="20"/>
                <w:szCs w:val="20"/>
                <w:lang w:eastAsia="en-GB"/>
              </w:rPr>
              <w:t>Should</w:t>
            </w:r>
            <w:r w:rsidR="007C5085" w:rsidRPr="007A2783">
              <w:rPr>
                <w:rFonts w:eastAsia="Times New Roman" w:cstheme="minorHAnsi"/>
                <w:color w:val="0B0C0C"/>
                <w:sz w:val="20"/>
                <w:szCs w:val="20"/>
                <w:lang w:eastAsia="en-GB"/>
              </w:rPr>
              <w:t xml:space="preserve"> be used where it is a requirement of the indoor setting and where the teaching, training or activity is taking place in an area in which children aged 11 and over or staff are likely to </w:t>
            </w:r>
            <w:proofErr w:type="gramStart"/>
            <w:r w:rsidR="007C5085" w:rsidRPr="007A2783">
              <w:rPr>
                <w:rFonts w:eastAsia="Times New Roman" w:cstheme="minorHAnsi"/>
                <w:color w:val="0B0C0C"/>
                <w:sz w:val="20"/>
                <w:szCs w:val="20"/>
                <w:lang w:eastAsia="en-GB"/>
              </w:rPr>
              <w:t>come into contact with</w:t>
            </w:r>
            <w:proofErr w:type="gramEnd"/>
            <w:r w:rsidR="007C5085" w:rsidRPr="007A2783">
              <w:rPr>
                <w:rFonts w:eastAsia="Times New Roman" w:cstheme="minorHAnsi"/>
                <w:color w:val="0B0C0C"/>
                <w:sz w:val="20"/>
                <w:szCs w:val="20"/>
                <w:lang w:eastAsia="en-GB"/>
              </w:rPr>
              <w:t xml:space="preserve"> other members of the public.</w:t>
            </w:r>
          </w:p>
          <w:p w14:paraId="76B0BA47" w14:textId="3200F6A4" w:rsidR="007C5085" w:rsidRPr="00CC3152" w:rsidRDefault="00F93E32" w:rsidP="00CC3152">
            <w:pPr>
              <w:pStyle w:val="ListParagraph"/>
              <w:numPr>
                <w:ilvl w:val="0"/>
                <w:numId w:val="7"/>
              </w:numPr>
              <w:spacing w:before="300" w:after="300"/>
              <w:rPr>
                <w:rFonts w:eastAsia="Times New Roman" w:cstheme="minorHAnsi"/>
                <w:color w:val="0B0C0C"/>
                <w:sz w:val="20"/>
                <w:szCs w:val="20"/>
                <w:lang w:eastAsia="en-GB"/>
              </w:rPr>
            </w:pPr>
            <w:r>
              <w:rPr>
                <w:rFonts w:eastAsia="Times New Roman" w:cstheme="minorHAnsi"/>
                <w:color w:val="0B0C0C"/>
                <w:sz w:val="20"/>
                <w:szCs w:val="20"/>
                <w:lang w:eastAsia="en-GB"/>
              </w:rPr>
              <w:t>Should</w:t>
            </w:r>
            <w:r w:rsidR="007C5085" w:rsidRPr="007A2783">
              <w:rPr>
                <w:rFonts w:eastAsia="Times New Roman" w:cstheme="minorHAnsi"/>
                <w:color w:val="0B0C0C"/>
                <w:sz w:val="20"/>
                <w:szCs w:val="20"/>
                <w:lang w:eastAsia="en-GB"/>
              </w:rPr>
              <w:t xml:space="preserve"> be worn by adults and children aged 11 and above when moving around the premises, outside of classrooms or activity rooms, such as in corridors and communal areas where social distancing cannot easily be maintained.</w:t>
            </w:r>
          </w:p>
        </w:tc>
      </w:tr>
      <w:tr w:rsidR="00C2414A" w:rsidRPr="004C46DC" w14:paraId="394BA07D" w14:textId="77777777" w:rsidTr="005A6244">
        <w:tc>
          <w:tcPr>
            <w:tcW w:w="1276" w:type="dxa"/>
            <w:shd w:val="clear" w:color="auto" w:fill="E5DFEC" w:themeFill="accent4" w:themeFillTint="33"/>
          </w:tcPr>
          <w:p w14:paraId="6254C8BC" w14:textId="77777777" w:rsidR="00C2414A" w:rsidRPr="004C46DC" w:rsidRDefault="00C2414A" w:rsidP="007C5085">
            <w:pPr>
              <w:textAlignment w:val="baseline"/>
              <w:outlineLvl w:val="2"/>
              <w:rPr>
                <w:rFonts w:cs="Arial"/>
                <w:sz w:val="20"/>
                <w:szCs w:val="20"/>
              </w:rPr>
            </w:pPr>
            <w:r w:rsidRPr="007C5085">
              <w:rPr>
                <w:rFonts w:eastAsia="Times New Roman" w:cstheme="minorHAnsi"/>
                <w:b/>
                <w:bCs/>
                <w:color w:val="0B0C0C"/>
                <w:sz w:val="20"/>
                <w:szCs w:val="20"/>
                <w:lang w:eastAsia="en-GB"/>
              </w:rPr>
              <w:t xml:space="preserve">Clinically extremely vulnerable children </w:t>
            </w:r>
          </w:p>
        </w:tc>
        <w:tc>
          <w:tcPr>
            <w:tcW w:w="13750" w:type="dxa"/>
            <w:gridSpan w:val="2"/>
          </w:tcPr>
          <w:p w14:paraId="1A7925E0" w14:textId="5BF14CCD" w:rsidR="00C2414A" w:rsidRPr="001B6C19" w:rsidRDefault="00C2414A" w:rsidP="001B6C19">
            <w:pPr>
              <w:pStyle w:val="ListParagraph"/>
              <w:numPr>
                <w:ilvl w:val="0"/>
                <w:numId w:val="2"/>
              </w:numPr>
              <w:spacing w:after="120"/>
              <w:rPr>
                <w:rFonts w:eastAsia="Times New Roman" w:cstheme="minorHAnsi"/>
                <w:color w:val="0B0C0C"/>
                <w:sz w:val="20"/>
                <w:szCs w:val="20"/>
                <w:lang w:eastAsia="en-GB"/>
              </w:rPr>
            </w:pPr>
            <w:r w:rsidRPr="001B6C19">
              <w:rPr>
                <w:rFonts w:eastAsia="Times New Roman" w:cstheme="minorHAnsi"/>
                <w:color w:val="0B0C0C"/>
                <w:sz w:val="20"/>
                <w:szCs w:val="20"/>
                <w:lang w:eastAsia="en-GB"/>
              </w:rPr>
              <w:t>Most children originally identified as clinically extremely vulnerable no longer need to follow original shielding advice. Parents should be advised to speak to their child’s GP or specialist clinician if they have not already done so, to understand whether their child should still be classed as clinically extremely vulnerable.</w:t>
            </w:r>
          </w:p>
          <w:p w14:paraId="194CDAF1" w14:textId="77777777" w:rsidR="00B0469F" w:rsidRDefault="00C2414A" w:rsidP="001B6C19">
            <w:pPr>
              <w:pStyle w:val="ListParagraph"/>
              <w:numPr>
                <w:ilvl w:val="0"/>
                <w:numId w:val="2"/>
              </w:numPr>
              <w:spacing w:before="300" w:after="120"/>
              <w:rPr>
                <w:rFonts w:eastAsia="Times New Roman" w:cstheme="minorHAnsi"/>
                <w:color w:val="0B0C0C"/>
                <w:sz w:val="20"/>
                <w:szCs w:val="20"/>
                <w:lang w:eastAsia="en-GB"/>
              </w:rPr>
            </w:pPr>
            <w:r w:rsidRPr="001B6C19">
              <w:rPr>
                <w:rFonts w:eastAsia="Times New Roman" w:cstheme="minorHAnsi"/>
                <w:color w:val="0B0C0C"/>
                <w:sz w:val="20"/>
                <w:szCs w:val="20"/>
                <w:lang w:eastAsia="en-GB"/>
              </w:rPr>
              <w:t xml:space="preserve">Those children whose doctors have confirmed they are still clinically extremely vulnerable are advised not to attend whilst the national restrictions are in place. </w:t>
            </w:r>
          </w:p>
          <w:p w14:paraId="34AEC2BD" w14:textId="775880A9" w:rsidR="00C2414A" w:rsidRPr="001B6C19" w:rsidRDefault="00C2414A" w:rsidP="001B6C19">
            <w:pPr>
              <w:pStyle w:val="ListParagraph"/>
              <w:numPr>
                <w:ilvl w:val="0"/>
                <w:numId w:val="2"/>
              </w:numPr>
              <w:spacing w:before="300" w:after="120"/>
              <w:rPr>
                <w:rFonts w:eastAsia="Times New Roman" w:cstheme="minorHAnsi"/>
                <w:color w:val="0B0C0C"/>
                <w:sz w:val="20"/>
                <w:szCs w:val="20"/>
                <w:lang w:eastAsia="en-GB"/>
              </w:rPr>
            </w:pPr>
            <w:r w:rsidRPr="001B6C19">
              <w:rPr>
                <w:rFonts w:eastAsia="Times New Roman" w:cstheme="minorHAnsi"/>
                <w:color w:val="0B0C0C"/>
                <w:sz w:val="20"/>
                <w:szCs w:val="20"/>
                <w:lang w:eastAsia="en-GB"/>
              </w:rPr>
              <w:t>Schools will need to make appropriate arrangements to enable them to continue their education at home.</w:t>
            </w:r>
          </w:p>
          <w:p w14:paraId="3D607A96" w14:textId="54378248" w:rsidR="00C2414A" w:rsidRPr="000E282F" w:rsidRDefault="00C2414A" w:rsidP="00AA51CA">
            <w:pPr>
              <w:pStyle w:val="ListParagraph"/>
              <w:numPr>
                <w:ilvl w:val="0"/>
                <w:numId w:val="2"/>
              </w:numPr>
              <w:spacing w:before="300"/>
              <w:rPr>
                <w:rFonts w:eastAsia="Times New Roman" w:cstheme="minorHAnsi"/>
                <w:color w:val="0B0C0C"/>
                <w:sz w:val="20"/>
                <w:szCs w:val="20"/>
                <w:lang w:eastAsia="en-GB"/>
              </w:rPr>
            </w:pPr>
            <w:r w:rsidRPr="001B6C19">
              <w:rPr>
                <w:rFonts w:eastAsia="Times New Roman" w:cstheme="minorHAnsi"/>
                <w:color w:val="0B0C0C"/>
                <w:sz w:val="20"/>
                <w:szCs w:val="20"/>
                <w:lang w:eastAsia="en-GB"/>
              </w:rPr>
              <w:t>Children who live with someone who is clinically extremely vulnerable, but who are not clinically extremely vulnerable themselves, should still attend education</w:t>
            </w:r>
            <w:r w:rsidR="009455AD">
              <w:rPr>
                <w:rFonts w:eastAsia="Times New Roman" w:cstheme="minorHAnsi"/>
                <w:color w:val="0B0C0C"/>
                <w:sz w:val="20"/>
                <w:szCs w:val="20"/>
                <w:lang w:eastAsia="en-GB"/>
              </w:rPr>
              <w:t xml:space="preserve"> or childcare.</w:t>
            </w:r>
          </w:p>
        </w:tc>
      </w:tr>
      <w:tr w:rsidR="004C46DC" w:rsidRPr="004C46DC" w14:paraId="7D0B4146" w14:textId="77777777" w:rsidTr="00916DCF">
        <w:trPr>
          <w:trHeight w:val="881"/>
        </w:trPr>
        <w:tc>
          <w:tcPr>
            <w:tcW w:w="1276" w:type="dxa"/>
            <w:shd w:val="clear" w:color="auto" w:fill="E5DFEC" w:themeFill="accent4" w:themeFillTint="33"/>
          </w:tcPr>
          <w:p w14:paraId="58701B70" w14:textId="3A6FC08D" w:rsidR="004C46DC" w:rsidRPr="001B6C19" w:rsidRDefault="004C46DC" w:rsidP="001B6C19">
            <w:pPr>
              <w:textAlignment w:val="baseline"/>
              <w:outlineLvl w:val="2"/>
              <w:rPr>
                <w:rFonts w:eastAsia="Times New Roman" w:cstheme="minorHAnsi"/>
                <w:b/>
                <w:bCs/>
                <w:color w:val="0B0C0C"/>
                <w:sz w:val="20"/>
                <w:szCs w:val="20"/>
                <w:lang w:eastAsia="en-GB"/>
              </w:rPr>
            </w:pPr>
            <w:r w:rsidRPr="007C5085">
              <w:rPr>
                <w:rFonts w:eastAsia="Times New Roman" w:cstheme="minorHAnsi"/>
                <w:b/>
                <w:bCs/>
                <w:color w:val="0B0C0C"/>
                <w:sz w:val="20"/>
                <w:szCs w:val="20"/>
                <w:lang w:eastAsia="en-GB"/>
              </w:rPr>
              <w:t>Clinically extremely vulnerable staff</w:t>
            </w:r>
          </w:p>
        </w:tc>
        <w:tc>
          <w:tcPr>
            <w:tcW w:w="13750" w:type="dxa"/>
            <w:gridSpan w:val="2"/>
          </w:tcPr>
          <w:p w14:paraId="4380A167" w14:textId="308B570D" w:rsidR="007F0124" w:rsidRDefault="004C46DC" w:rsidP="007F0124">
            <w:pPr>
              <w:pStyle w:val="ListParagraph"/>
              <w:numPr>
                <w:ilvl w:val="0"/>
                <w:numId w:val="2"/>
              </w:numPr>
              <w:spacing w:after="120"/>
              <w:rPr>
                <w:rFonts w:eastAsia="Times New Roman" w:cstheme="minorHAnsi"/>
                <w:color w:val="0B0C0C"/>
                <w:sz w:val="20"/>
                <w:szCs w:val="20"/>
                <w:lang w:eastAsia="en-GB"/>
              </w:rPr>
            </w:pPr>
            <w:r w:rsidRPr="007C5085">
              <w:rPr>
                <w:rFonts w:eastAsia="Times New Roman" w:cstheme="minorHAnsi"/>
                <w:color w:val="0B0C0C"/>
                <w:sz w:val="20"/>
                <w:szCs w:val="20"/>
                <w:lang w:eastAsia="en-GB"/>
              </w:rPr>
              <w:t>Those individuals who are clinically extremely vulnerable are advised to work from home and not to go into work</w:t>
            </w:r>
            <w:r w:rsidR="007F0124">
              <w:rPr>
                <w:rFonts w:eastAsia="Times New Roman" w:cstheme="minorHAnsi"/>
                <w:color w:val="0B0C0C"/>
                <w:sz w:val="20"/>
                <w:szCs w:val="20"/>
                <w:lang w:eastAsia="en-GB"/>
              </w:rPr>
              <w:t>.</w:t>
            </w:r>
            <w:r w:rsidR="00AA51CA">
              <w:rPr>
                <w:rFonts w:eastAsia="Times New Roman" w:cstheme="minorHAnsi"/>
                <w:color w:val="0B0C0C"/>
                <w:sz w:val="20"/>
                <w:szCs w:val="20"/>
                <w:lang w:eastAsia="en-GB"/>
              </w:rPr>
              <w:t xml:space="preserve"> </w:t>
            </w:r>
            <w:r w:rsidRPr="007F0124">
              <w:rPr>
                <w:rFonts w:eastAsia="Times New Roman" w:cstheme="minorHAnsi"/>
                <w:color w:val="0B0C0C"/>
                <w:sz w:val="20"/>
                <w:szCs w:val="20"/>
                <w:lang w:eastAsia="en-GB"/>
              </w:rPr>
              <w:t xml:space="preserve">Individuals in this group will have been identified through a letter from the NHS or from their </w:t>
            </w:r>
            <w:proofErr w:type="gramStart"/>
            <w:r w:rsidRPr="007F0124">
              <w:rPr>
                <w:rFonts w:eastAsia="Times New Roman" w:cstheme="minorHAnsi"/>
                <w:color w:val="0B0C0C"/>
                <w:sz w:val="20"/>
                <w:szCs w:val="20"/>
                <w:lang w:eastAsia="en-GB"/>
              </w:rPr>
              <w:t>GP, and</w:t>
            </w:r>
            <w:proofErr w:type="gramEnd"/>
            <w:r w:rsidRPr="007F0124">
              <w:rPr>
                <w:rFonts w:eastAsia="Times New Roman" w:cstheme="minorHAnsi"/>
                <w:color w:val="0B0C0C"/>
                <w:sz w:val="20"/>
                <w:szCs w:val="20"/>
                <w:lang w:eastAsia="en-GB"/>
              </w:rPr>
              <w:t xml:space="preserve"> may have been advised to shield in the past. </w:t>
            </w:r>
          </w:p>
          <w:p w14:paraId="5FD96FE0" w14:textId="39D6292C" w:rsidR="004C46DC" w:rsidRPr="007F0124" w:rsidRDefault="004C46DC" w:rsidP="007F0124">
            <w:pPr>
              <w:pStyle w:val="ListParagraph"/>
              <w:numPr>
                <w:ilvl w:val="0"/>
                <w:numId w:val="2"/>
              </w:numPr>
              <w:spacing w:after="120"/>
              <w:rPr>
                <w:rFonts w:eastAsia="Times New Roman" w:cstheme="minorHAnsi"/>
                <w:color w:val="0B0C0C"/>
                <w:sz w:val="20"/>
                <w:szCs w:val="20"/>
                <w:lang w:eastAsia="en-GB"/>
              </w:rPr>
            </w:pPr>
            <w:r w:rsidRPr="007F0124">
              <w:rPr>
                <w:rFonts w:eastAsia="Times New Roman" w:cstheme="minorHAnsi"/>
                <w:color w:val="0B0C0C"/>
                <w:sz w:val="20"/>
                <w:szCs w:val="20"/>
                <w:lang w:eastAsia="en-GB"/>
              </w:rPr>
              <w:t xml:space="preserve">Staff should talk to their employers about how they will be supported, </w:t>
            </w:r>
            <w:proofErr w:type="spellStart"/>
            <w:r w:rsidRPr="007F0124">
              <w:rPr>
                <w:rFonts w:eastAsia="Times New Roman" w:cstheme="minorHAnsi"/>
                <w:color w:val="0B0C0C"/>
                <w:sz w:val="20"/>
                <w:szCs w:val="20"/>
                <w:lang w:eastAsia="en-GB"/>
              </w:rPr>
              <w:t>inc</w:t>
            </w:r>
            <w:r w:rsidR="00A82CFA">
              <w:rPr>
                <w:rFonts w:eastAsia="Times New Roman" w:cstheme="minorHAnsi"/>
                <w:color w:val="0B0C0C"/>
                <w:sz w:val="20"/>
                <w:szCs w:val="20"/>
                <w:lang w:eastAsia="en-GB"/>
              </w:rPr>
              <w:t>.</w:t>
            </w:r>
            <w:proofErr w:type="spellEnd"/>
            <w:r w:rsidRPr="007F0124">
              <w:rPr>
                <w:rFonts w:eastAsia="Times New Roman" w:cstheme="minorHAnsi"/>
                <w:color w:val="0B0C0C"/>
                <w:sz w:val="20"/>
                <w:szCs w:val="20"/>
                <w:lang w:eastAsia="en-GB"/>
              </w:rPr>
              <w:t xml:space="preserve"> to work from home where possible, during the period of national restrictions.</w:t>
            </w:r>
          </w:p>
          <w:p w14:paraId="33A5DC90" w14:textId="77777777" w:rsidR="004C46DC" w:rsidRPr="004C46DC" w:rsidRDefault="004C46DC" w:rsidP="00AA51CA">
            <w:pPr>
              <w:pStyle w:val="ListParagraph"/>
              <w:numPr>
                <w:ilvl w:val="0"/>
                <w:numId w:val="2"/>
              </w:numPr>
              <w:rPr>
                <w:rFonts w:eastAsia="Times New Roman" w:cstheme="minorHAnsi"/>
                <w:color w:val="0B0C0C"/>
                <w:sz w:val="20"/>
                <w:szCs w:val="20"/>
                <w:lang w:eastAsia="en-GB"/>
              </w:rPr>
            </w:pPr>
            <w:r w:rsidRPr="007C5085">
              <w:rPr>
                <w:rFonts w:eastAsia="Times New Roman" w:cstheme="minorHAnsi"/>
                <w:color w:val="0B0C0C"/>
                <w:sz w:val="20"/>
                <w:szCs w:val="20"/>
                <w:lang w:eastAsia="en-GB"/>
              </w:rPr>
              <w:t>All other staff should continue to attend work, including those living in a household with someone who is clinically extremely vulnerable.</w:t>
            </w:r>
          </w:p>
        </w:tc>
      </w:tr>
      <w:tr w:rsidR="007C5085" w:rsidRPr="004C46DC" w14:paraId="010732CA" w14:textId="77777777" w:rsidTr="005A6244">
        <w:tc>
          <w:tcPr>
            <w:tcW w:w="1276" w:type="dxa"/>
            <w:shd w:val="clear" w:color="auto" w:fill="E5DFEC" w:themeFill="accent4" w:themeFillTint="33"/>
          </w:tcPr>
          <w:p w14:paraId="33D406C7" w14:textId="6A02B3BD" w:rsidR="007C5085" w:rsidRPr="001B6C19" w:rsidRDefault="007C5085">
            <w:pPr>
              <w:rPr>
                <w:rFonts w:cs="Arial"/>
                <w:b/>
                <w:bCs/>
                <w:sz w:val="20"/>
                <w:szCs w:val="20"/>
              </w:rPr>
            </w:pPr>
            <w:r w:rsidRPr="001B6C19">
              <w:rPr>
                <w:rFonts w:cs="Arial"/>
                <w:b/>
                <w:bCs/>
                <w:sz w:val="20"/>
                <w:szCs w:val="20"/>
              </w:rPr>
              <w:t xml:space="preserve">Clinically vulnerable </w:t>
            </w:r>
          </w:p>
        </w:tc>
        <w:tc>
          <w:tcPr>
            <w:tcW w:w="13750" w:type="dxa"/>
            <w:gridSpan w:val="2"/>
          </w:tcPr>
          <w:p w14:paraId="6814CCF1" w14:textId="77777777" w:rsidR="007C5085" w:rsidRPr="001B6C19" w:rsidRDefault="007C5085" w:rsidP="00CC3152">
            <w:pPr>
              <w:pStyle w:val="ListParagraph"/>
              <w:numPr>
                <w:ilvl w:val="0"/>
                <w:numId w:val="3"/>
              </w:numPr>
              <w:rPr>
                <w:rFonts w:eastAsia="Times New Roman" w:cstheme="minorHAnsi"/>
                <w:color w:val="0B0C0C"/>
                <w:sz w:val="20"/>
                <w:szCs w:val="20"/>
                <w:lang w:eastAsia="en-GB"/>
              </w:rPr>
            </w:pPr>
            <w:r w:rsidRPr="001B6C19">
              <w:rPr>
                <w:rFonts w:eastAsia="Times New Roman" w:cstheme="minorHAnsi"/>
                <w:color w:val="0B0C0C"/>
                <w:sz w:val="20"/>
                <w:szCs w:val="20"/>
                <w:lang w:eastAsia="en-GB"/>
              </w:rPr>
              <w:t>Staff and children who are clinically vulnerable or have underlying health conditions but are not clinically extremely vulnerable, may continue to attend in line with current guidance.</w:t>
            </w:r>
          </w:p>
        </w:tc>
      </w:tr>
      <w:tr w:rsidR="007C5085" w:rsidRPr="004C46DC" w14:paraId="3899EE03" w14:textId="77777777" w:rsidTr="005A6244">
        <w:tc>
          <w:tcPr>
            <w:tcW w:w="1276" w:type="dxa"/>
            <w:shd w:val="clear" w:color="auto" w:fill="E5DFEC" w:themeFill="accent4" w:themeFillTint="33"/>
          </w:tcPr>
          <w:p w14:paraId="2C9AB98B" w14:textId="364C617C" w:rsidR="007C5085" w:rsidRPr="000A1789" w:rsidRDefault="001B6C19">
            <w:pPr>
              <w:rPr>
                <w:rFonts w:cs="Arial"/>
                <w:b/>
                <w:bCs/>
                <w:sz w:val="20"/>
                <w:szCs w:val="20"/>
              </w:rPr>
            </w:pPr>
            <w:r w:rsidRPr="007C5085">
              <w:rPr>
                <w:rFonts w:eastAsia="Times New Roman" w:cstheme="minorHAnsi"/>
                <w:b/>
                <w:bCs/>
                <w:color w:val="0B0C0C"/>
                <w:sz w:val="20"/>
                <w:szCs w:val="20"/>
                <w:lang w:eastAsia="en-GB"/>
              </w:rPr>
              <w:t xml:space="preserve">Music, dance </w:t>
            </w:r>
            <w:r w:rsidR="005A6244">
              <w:rPr>
                <w:rFonts w:eastAsia="Times New Roman" w:cstheme="minorHAnsi"/>
                <w:b/>
                <w:bCs/>
                <w:color w:val="0B0C0C"/>
                <w:sz w:val="20"/>
                <w:szCs w:val="20"/>
                <w:lang w:eastAsia="en-GB"/>
              </w:rPr>
              <w:t>&amp;</w:t>
            </w:r>
            <w:r w:rsidRPr="007C5085">
              <w:rPr>
                <w:rFonts w:eastAsia="Times New Roman" w:cstheme="minorHAnsi"/>
                <w:b/>
                <w:bCs/>
                <w:color w:val="0B0C0C"/>
                <w:sz w:val="20"/>
                <w:szCs w:val="20"/>
                <w:lang w:eastAsia="en-GB"/>
              </w:rPr>
              <w:t xml:space="preserve"> drama</w:t>
            </w:r>
          </w:p>
        </w:tc>
        <w:tc>
          <w:tcPr>
            <w:tcW w:w="8222" w:type="dxa"/>
          </w:tcPr>
          <w:p w14:paraId="5059A4E3" w14:textId="77777777" w:rsidR="00CC3152" w:rsidRDefault="001B6C19" w:rsidP="00D35059">
            <w:pPr>
              <w:pStyle w:val="ListParagraph"/>
              <w:numPr>
                <w:ilvl w:val="0"/>
                <w:numId w:val="3"/>
              </w:numPr>
              <w:rPr>
                <w:rFonts w:eastAsia="Times New Roman" w:cstheme="minorHAnsi"/>
                <w:color w:val="0B0C0C"/>
                <w:sz w:val="20"/>
                <w:szCs w:val="20"/>
                <w:lang w:eastAsia="en-GB"/>
              </w:rPr>
            </w:pPr>
            <w:r w:rsidRPr="001B6C19">
              <w:rPr>
                <w:rFonts w:eastAsia="Times New Roman" w:cstheme="minorHAnsi"/>
                <w:color w:val="0B0C0C"/>
                <w:sz w:val="20"/>
                <w:szCs w:val="20"/>
                <w:lang w:eastAsia="en-GB"/>
              </w:rPr>
              <w:t>C</w:t>
            </w:r>
            <w:r w:rsidR="007C5085" w:rsidRPr="001B6C19">
              <w:rPr>
                <w:rFonts w:eastAsia="Times New Roman" w:cstheme="minorHAnsi"/>
                <w:color w:val="0B0C0C"/>
                <w:sz w:val="20"/>
                <w:szCs w:val="20"/>
                <w:lang w:eastAsia="en-GB"/>
              </w:rPr>
              <w:t xml:space="preserve">an be undertaken in school so long as safety precautions are undertaken. </w:t>
            </w:r>
          </w:p>
          <w:p w14:paraId="38E49DD6" w14:textId="1ED444A1" w:rsidR="007C5085" w:rsidRPr="00D35059" w:rsidRDefault="00CB1789" w:rsidP="00D35059">
            <w:pPr>
              <w:pStyle w:val="ListParagraph"/>
              <w:numPr>
                <w:ilvl w:val="0"/>
                <w:numId w:val="3"/>
              </w:numPr>
              <w:rPr>
                <w:rFonts w:eastAsia="Times New Roman" w:cstheme="minorHAnsi"/>
                <w:color w:val="0B0C0C"/>
                <w:sz w:val="20"/>
                <w:szCs w:val="20"/>
                <w:lang w:eastAsia="en-GB"/>
              </w:rPr>
            </w:pPr>
            <w:r>
              <w:rPr>
                <w:rFonts w:eastAsia="Times New Roman" w:cstheme="minorHAnsi"/>
                <w:color w:val="0B0C0C"/>
                <w:sz w:val="20"/>
                <w:szCs w:val="20"/>
                <w:lang w:eastAsia="en-GB"/>
              </w:rPr>
              <w:t>See</w:t>
            </w:r>
            <w:r w:rsidR="007C5085" w:rsidRPr="001B6C19">
              <w:rPr>
                <w:rFonts w:eastAsia="Times New Roman" w:cstheme="minorHAnsi"/>
                <w:color w:val="0B0C0C"/>
                <w:sz w:val="20"/>
                <w:szCs w:val="20"/>
                <w:lang w:eastAsia="en-GB"/>
              </w:rPr>
              <w:t xml:space="preserve"> </w:t>
            </w:r>
            <w:hyperlink r:id="rId9" w:anchor="music-dance-and-drama-in-school" w:history="1">
              <w:r w:rsidR="007C5085" w:rsidRPr="001B6C19">
                <w:rPr>
                  <w:rFonts w:eastAsia="Times New Roman" w:cstheme="minorHAnsi"/>
                  <w:color w:val="1D70B8"/>
                  <w:sz w:val="20"/>
                  <w:szCs w:val="20"/>
                  <w:u w:val="single"/>
                  <w:bdr w:val="none" w:sz="0" w:space="0" w:color="auto" w:frame="1"/>
                  <w:lang w:eastAsia="en-GB"/>
                </w:rPr>
                <w:t>full opening guidance for schools</w:t>
              </w:r>
            </w:hyperlink>
            <w:r w:rsidR="007C5085" w:rsidRPr="001B6C19">
              <w:rPr>
                <w:rFonts w:eastAsia="Times New Roman" w:cstheme="minorHAnsi"/>
                <w:color w:val="0B0C0C"/>
                <w:sz w:val="20"/>
                <w:szCs w:val="20"/>
                <w:lang w:eastAsia="en-GB"/>
              </w:rPr>
              <w:t>.</w:t>
            </w:r>
          </w:p>
        </w:tc>
        <w:tc>
          <w:tcPr>
            <w:tcW w:w="5528" w:type="dxa"/>
            <w:shd w:val="clear" w:color="auto" w:fill="E5DFEC" w:themeFill="accent4" w:themeFillTint="33"/>
          </w:tcPr>
          <w:p w14:paraId="3587DF9A" w14:textId="77777777" w:rsidR="007C5085" w:rsidRPr="004C46DC" w:rsidRDefault="007C5085">
            <w:pPr>
              <w:rPr>
                <w:rFonts w:cs="Arial"/>
                <w:sz w:val="20"/>
                <w:szCs w:val="20"/>
              </w:rPr>
            </w:pPr>
          </w:p>
        </w:tc>
      </w:tr>
      <w:tr w:rsidR="007C5085" w:rsidRPr="004C46DC" w14:paraId="0B89CF8D" w14:textId="77777777" w:rsidTr="005A6244">
        <w:tc>
          <w:tcPr>
            <w:tcW w:w="1276" w:type="dxa"/>
            <w:shd w:val="clear" w:color="auto" w:fill="E5DFEC" w:themeFill="accent4" w:themeFillTint="33"/>
          </w:tcPr>
          <w:p w14:paraId="044CC57B" w14:textId="7DF3DA3C" w:rsidR="007C5085" w:rsidRPr="000A1789" w:rsidRDefault="001B6C19" w:rsidP="00D35059">
            <w:pPr>
              <w:rPr>
                <w:rFonts w:cs="Arial"/>
                <w:b/>
                <w:bCs/>
                <w:sz w:val="20"/>
                <w:szCs w:val="20"/>
              </w:rPr>
            </w:pPr>
            <w:r w:rsidRPr="007C5085">
              <w:rPr>
                <w:rFonts w:eastAsia="Times New Roman" w:cstheme="minorHAnsi"/>
                <w:b/>
                <w:bCs/>
                <w:color w:val="0B0C0C"/>
                <w:sz w:val="20"/>
                <w:szCs w:val="20"/>
                <w:lang w:eastAsia="en-GB"/>
              </w:rPr>
              <w:t>Residential providers</w:t>
            </w:r>
          </w:p>
        </w:tc>
        <w:tc>
          <w:tcPr>
            <w:tcW w:w="8222" w:type="dxa"/>
          </w:tcPr>
          <w:p w14:paraId="786CE245" w14:textId="0322CD69" w:rsidR="001B6C19" w:rsidRPr="001B6C19" w:rsidRDefault="00CB1789" w:rsidP="00D35059">
            <w:pPr>
              <w:pStyle w:val="ListParagraph"/>
              <w:numPr>
                <w:ilvl w:val="0"/>
                <w:numId w:val="3"/>
              </w:numPr>
              <w:rPr>
                <w:rFonts w:eastAsia="Times New Roman" w:cstheme="minorHAnsi"/>
                <w:color w:val="0B0C0C"/>
                <w:sz w:val="20"/>
                <w:szCs w:val="20"/>
                <w:lang w:eastAsia="en-GB"/>
              </w:rPr>
            </w:pPr>
            <w:r>
              <w:rPr>
                <w:rFonts w:eastAsia="Times New Roman" w:cstheme="minorHAnsi"/>
                <w:color w:val="0B0C0C"/>
                <w:sz w:val="20"/>
                <w:szCs w:val="20"/>
                <w:lang w:eastAsia="en-GB"/>
              </w:rPr>
              <w:t>Support</w:t>
            </w:r>
            <w:r w:rsidR="007C5085" w:rsidRPr="001B6C19">
              <w:rPr>
                <w:rFonts w:eastAsia="Times New Roman" w:cstheme="minorHAnsi"/>
                <w:color w:val="0B0C0C"/>
                <w:sz w:val="20"/>
                <w:szCs w:val="20"/>
                <w:lang w:eastAsia="en-GB"/>
              </w:rPr>
              <w:t xml:space="preserve"> students to reduce travel between home and educational accommodation unless </w:t>
            </w:r>
            <w:proofErr w:type="gramStart"/>
            <w:r w:rsidR="007C5085" w:rsidRPr="001B6C19">
              <w:rPr>
                <w:rFonts w:eastAsia="Times New Roman" w:cstheme="minorHAnsi"/>
                <w:color w:val="0B0C0C"/>
                <w:sz w:val="20"/>
                <w:szCs w:val="20"/>
                <w:lang w:eastAsia="en-GB"/>
              </w:rPr>
              <w:t>absolutely necessary</w:t>
            </w:r>
            <w:proofErr w:type="gramEnd"/>
            <w:r w:rsidR="007C5085" w:rsidRPr="001B6C19">
              <w:rPr>
                <w:rFonts w:eastAsia="Times New Roman" w:cstheme="minorHAnsi"/>
                <w:color w:val="0B0C0C"/>
                <w:sz w:val="20"/>
                <w:szCs w:val="20"/>
                <w:lang w:eastAsia="en-GB"/>
              </w:rPr>
              <w:t xml:space="preserve">. </w:t>
            </w:r>
          </w:p>
          <w:p w14:paraId="1CEF6007" w14:textId="35498494" w:rsidR="007C5085" w:rsidRPr="00094C04" w:rsidRDefault="00094C04" w:rsidP="00094C04">
            <w:pPr>
              <w:pStyle w:val="ListParagraph"/>
              <w:numPr>
                <w:ilvl w:val="0"/>
                <w:numId w:val="3"/>
              </w:numPr>
              <w:rPr>
                <w:rFonts w:eastAsia="Times New Roman" w:cstheme="minorHAnsi"/>
                <w:color w:val="0B0C0C"/>
                <w:sz w:val="20"/>
                <w:szCs w:val="20"/>
                <w:lang w:eastAsia="en-GB"/>
              </w:rPr>
            </w:pPr>
            <w:r>
              <w:rPr>
                <w:rFonts w:eastAsia="Times New Roman" w:cstheme="minorHAnsi"/>
                <w:color w:val="0B0C0C"/>
                <w:sz w:val="20"/>
                <w:szCs w:val="20"/>
                <w:lang w:eastAsia="en-GB"/>
              </w:rPr>
              <w:t>N</w:t>
            </w:r>
            <w:r w:rsidR="007C5085" w:rsidRPr="001B6C19">
              <w:rPr>
                <w:rFonts w:eastAsia="Times New Roman" w:cstheme="minorHAnsi"/>
                <w:color w:val="0B0C0C"/>
                <w:sz w:val="20"/>
                <w:szCs w:val="20"/>
                <w:lang w:eastAsia="en-GB"/>
              </w:rPr>
              <w:t>ormal</w:t>
            </w:r>
            <w:r w:rsidR="00D17E25">
              <w:rPr>
                <w:rFonts w:eastAsia="Times New Roman" w:cstheme="minorHAnsi"/>
                <w:color w:val="0B0C0C"/>
                <w:sz w:val="20"/>
                <w:szCs w:val="20"/>
                <w:lang w:eastAsia="en-GB"/>
              </w:rPr>
              <w:t xml:space="preserve"> term time</w:t>
            </w:r>
            <w:r w:rsidR="007C5085" w:rsidRPr="001B6C19">
              <w:rPr>
                <w:rFonts w:eastAsia="Times New Roman" w:cstheme="minorHAnsi"/>
                <w:color w:val="0B0C0C"/>
                <w:sz w:val="20"/>
                <w:szCs w:val="20"/>
                <w:lang w:eastAsia="en-GB"/>
              </w:rPr>
              <w:t xml:space="preserve"> travel between boarding school and home </w:t>
            </w:r>
            <w:r w:rsidR="007C5085" w:rsidRPr="00094C04">
              <w:rPr>
                <w:rFonts w:eastAsia="Times New Roman" w:cstheme="minorHAnsi"/>
                <w:color w:val="0B0C0C"/>
                <w:sz w:val="20"/>
                <w:szCs w:val="20"/>
                <w:lang w:eastAsia="en-GB"/>
              </w:rPr>
              <w:t>is allowed.</w:t>
            </w:r>
          </w:p>
        </w:tc>
        <w:tc>
          <w:tcPr>
            <w:tcW w:w="5528" w:type="dxa"/>
            <w:shd w:val="clear" w:color="auto" w:fill="E5DFEC" w:themeFill="accent4" w:themeFillTint="33"/>
          </w:tcPr>
          <w:p w14:paraId="2643A125" w14:textId="77777777" w:rsidR="007C5085" w:rsidRPr="004C46DC" w:rsidRDefault="007C5085" w:rsidP="00D35059">
            <w:pPr>
              <w:rPr>
                <w:rFonts w:cs="Arial"/>
                <w:sz w:val="20"/>
                <w:szCs w:val="20"/>
              </w:rPr>
            </w:pPr>
          </w:p>
        </w:tc>
      </w:tr>
      <w:tr w:rsidR="007C5085" w:rsidRPr="004C46DC" w14:paraId="224ABA74" w14:textId="77777777" w:rsidTr="005A6244">
        <w:tc>
          <w:tcPr>
            <w:tcW w:w="1276" w:type="dxa"/>
            <w:shd w:val="clear" w:color="auto" w:fill="E5DFEC" w:themeFill="accent4" w:themeFillTint="33"/>
          </w:tcPr>
          <w:p w14:paraId="40EC1629" w14:textId="3477C1DA" w:rsidR="007C5085" w:rsidRPr="000A1789" w:rsidRDefault="00220CCD">
            <w:pPr>
              <w:rPr>
                <w:rFonts w:cs="Arial"/>
                <w:b/>
                <w:bCs/>
                <w:sz w:val="20"/>
                <w:szCs w:val="20"/>
              </w:rPr>
            </w:pPr>
            <w:r w:rsidRPr="000A1789">
              <w:rPr>
                <w:rFonts w:cs="Arial"/>
                <w:b/>
                <w:bCs/>
                <w:sz w:val="20"/>
                <w:szCs w:val="20"/>
              </w:rPr>
              <w:t>Transport</w:t>
            </w:r>
          </w:p>
        </w:tc>
        <w:tc>
          <w:tcPr>
            <w:tcW w:w="8222" w:type="dxa"/>
          </w:tcPr>
          <w:p w14:paraId="71789450" w14:textId="77777777" w:rsidR="007C5085" w:rsidRPr="00220CCD" w:rsidRDefault="007C5085" w:rsidP="00220CCD">
            <w:pPr>
              <w:pStyle w:val="ListParagraph"/>
              <w:numPr>
                <w:ilvl w:val="0"/>
                <w:numId w:val="4"/>
              </w:numPr>
              <w:rPr>
                <w:rFonts w:eastAsia="Times New Roman" w:cstheme="minorHAnsi"/>
                <w:color w:val="0B0C0C"/>
                <w:sz w:val="20"/>
                <w:szCs w:val="20"/>
                <w:lang w:eastAsia="en-GB"/>
              </w:rPr>
            </w:pPr>
            <w:r w:rsidRPr="00220CCD">
              <w:rPr>
                <w:rFonts w:eastAsia="Times New Roman" w:cstheme="minorHAnsi"/>
                <w:color w:val="0B0C0C"/>
                <w:sz w:val="20"/>
                <w:szCs w:val="20"/>
                <w:lang w:eastAsia="en-GB"/>
              </w:rPr>
              <w:t xml:space="preserve">Children and young people aged 11 and over must wear a face covering on public transport. Face coverings should also be worn by pupils in year 7 and above when travelling on dedicated school transport to secondary school or college. This does not apply to those who are </w:t>
            </w:r>
            <w:hyperlink r:id="rId10" w:anchor="exemptions-face-coverings" w:history="1">
              <w:r w:rsidRPr="00220CCD">
                <w:rPr>
                  <w:rFonts w:eastAsia="Times New Roman" w:cstheme="minorHAnsi"/>
                  <w:color w:val="1D70B8"/>
                  <w:sz w:val="20"/>
                  <w:szCs w:val="20"/>
                  <w:u w:val="single"/>
                  <w:bdr w:val="none" w:sz="0" w:space="0" w:color="auto" w:frame="1"/>
                  <w:lang w:eastAsia="en-GB"/>
                </w:rPr>
                <w:t>exempt</w:t>
              </w:r>
            </w:hyperlink>
            <w:r w:rsidRPr="00220CCD">
              <w:rPr>
                <w:rFonts w:eastAsia="Times New Roman" w:cstheme="minorHAnsi"/>
                <w:color w:val="0B0C0C"/>
                <w:sz w:val="20"/>
                <w:szCs w:val="20"/>
                <w:lang w:eastAsia="en-GB"/>
              </w:rPr>
              <w:t>.</w:t>
            </w:r>
          </w:p>
          <w:p w14:paraId="39DEB13B" w14:textId="77777777" w:rsidR="007C5085" w:rsidRPr="00220CCD" w:rsidRDefault="007C5085" w:rsidP="00220CCD">
            <w:pPr>
              <w:pStyle w:val="ListParagraph"/>
              <w:numPr>
                <w:ilvl w:val="0"/>
                <w:numId w:val="4"/>
              </w:numPr>
              <w:spacing w:before="300" w:after="300"/>
              <w:rPr>
                <w:rFonts w:eastAsia="Times New Roman" w:cstheme="minorHAnsi"/>
                <w:color w:val="0B0C0C"/>
                <w:sz w:val="20"/>
                <w:szCs w:val="20"/>
                <w:lang w:eastAsia="en-GB"/>
              </w:rPr>
            </w:pPr>
            <w:r w:rsidRPr="00220CCD">
              <w:rPr>
                <w:rFonts w:eastAsia="Times New Roman" w:cstheme="minorHAnsi"/>
                <w:color w:val="0B0C0C"/>
                <w:sz w:val="20"/>
                <w:szCs w:val="20"/>
                <w:lang w:eastAsia="en-GB"/>
              </w:rPr>
              <w:t>Travel in or out of local areas should be avoided, and parents, carers and staff should look to reduce the number of journeys they make - but travelling to deliver and access education is still permitted.</w:t>
            </w:r>
          </w:p>
          <w:p w14:paraId="114BDA89" w14:textId="406EFFF7" w:rsidR="007C5085" w:rsidRPr="000A1789" w:rsidRDefault="00D35059" w:rsidP="00D35059">
            <w:pPr>
              <w:pStyle w:val="ListParagraph"/>
              <w:numPr>
                <w:ilvl w:val="0"/>
                <w:numId w:val="4"/>
              </w:numPr>
              <w:spacing w:before="300"/>
              <w:rPr>
                <w:rFonts w:eastAsia="Times New Roman" w:cstheme="minorHAnsi"/>
                <w:color w:val="0B0C0C"/>
                <w:sz w:val="20"/>
                <w:szCs w:val="20"/>
                <w:lang w:eastAsia="en-GB"/>
              </w:rPr>
            </w:pPr>
            <w:r>
              <w:rPr>
                <w:rFonts w:eastAsia="Times New Roman" w:cstheme="minorHAnsi"/>
                <w:color w:val="0B0C0C"/>
                <w:sz w:val="20"/>
                <w:szCs w:val="20"/>
                <w:lang w:eastAsia="en-GB"/>
              </w:rPr>
              <w:t>Walking</w:t>
            </w:r>
            <w:r w:rsidR="007C5085" w:rsidRPr="00220CCD">
              <w:rPr>
                <w:rFonts w:eastAsia="Times New Roman" w:cstheme="minorHAnsi"/>
                <w:color w:val="0B0C0C"/>
                <w:sz w:val="20"/>
                <w:szCs w:val="20"/>
                <w:lang w:eastAsia="en-GB"/>
              </w:rPr>
              <w:t xml:space="preserve"> or cycl</w:t>
            </w:r>
            <w:r>
              <w:rPr>
                <w:rFonts w:eastAsia="Times New Roman" w:cstheme="minorHAnsi"/>
                <w:color w:val="0B0C0C"/>
                <w:sz w:val="20"/>
                <w:szCs w:val="20"/>
                <w:lang w:eastAsia="en-GB"/>
              </w:rPr>
              <w:t>ing to school is encouraged</w:t>
            </w:r>
            <w:r w:rsidR="00094C04">
              <w:rPr>
                <w:rFonts w:eastAsia="Times New Roman" w:cstheme="minorHAnsi"/>
                <w:color w:val="0B0C0C"/>
                <w:sz w:val="20"/>
                <w:szCs w:val="20"/>
                <w:lang w:eastAsia="en-GB"/>
              </w:rPr>
              <w:t xml:space="preserve">. </w:t>
            </w:r>
            <w:proofErr w:type="gramStart"/>
            <w:r w:rsidR="00094C04">
              <w:rPr>
                <w:rFonts w:eastAsia="Times New Roman" w:cstheme="minorHAnsi"/>
                <w:color w:val="0B0C0C"/>
                <w:sz w:val="20"/>
                <w:szCs w:val="20"/>
                <w:lang w:eastAsia="en-GB"/>
              </w:rPr>
              <w:t>Plan</w:t>
            </w:r>
            <w:r w:rsidR="007C5085" w:rsidRPr="00220CCD">
              <w:rPr>
                <w:rFonts w:eastAsia="Times New Roman" w:cstheme="minorHAnsi"/>
                <w:color w:val="0B0C0C"/>
                <w:sz w:val="20"/>
                <w:szCs w:val="20"/>
                <w:lang w:eastAsia="en-GB"/>
              </w:rPr>
              <w:t xml:space="preserve"> ahead</w:t>
            </w:r>
            <w:proofErr w:type="gramEnd"/>
            <w:r w:rsidR="007C5085" w:rsidRPr="00220CCD">
              <w:rPr>
                <w:rFonts w:eastAsia="Times New Roman" w:cstheme="minorHAnsi"/>
                <w:color w:val="0B0C0C"/>
                <w:sz w:val="20"/>
                <w:szCs w:val="20"/>
                <w:lang w:eastAsia="en-GB"/>
              </w:rPr>
              <w:t xml:space="preserve"> and avoid busy times and routes on public transport. </w:t>
            </w:r>
          </w:p>
        </w:tc>
        <w:tc>
          <w:tcPr>
            <w:tcW w:w="5528" w:type="dxa"/>
            <w:shd w:val="clear" w:color="auto" w:fill="E5DFEC" w:themeFill="accent4" w:themeFillTint="33"/>
          </w:tcPr>
          <w:p w14:paraId="260B806E" w14:textId="77777777" w:rsidR="007C5085" w:rsidRPr="004C46DC" w:rsidRDefault="007C5085">
            <w:pPr>
              <w:rPr>
                <w:rFonts w:cs="Arial"/>
                <w:sz w:val="20"/>
                <w:szCs w:val="20"/>
              </w:rPr>
            </w:pPr>
          </w:p>
        </w:tc>
      </w:tr>
      <w:tr w:rsidR="007C5085" w:rsidRPr="004C46DC" w14:paraId="362F0AF1" w14:textId="77777777" w:rsidTr="005A6244">
        <w:tc>
          <w:tcPr>
            <w:tcW w:w="1276" w:type="dxa"/>
            <w:shd w:val="clear" w:color="auto" w:fill="E5DFEC" w:themeFill="accent4" w:themeFillTint="33"/>
          </w:tcPr>
          <w:p w14:paraId="27DFBA5A" w14:textId="46745964" w:rsidR="007C5085" w:rsidRPr="000A1789" w:rsidRDefault="00A12583">
            <w:pPr>
              <w:rPr>
                <w:rFonts w:cs="Arial"/>
                <w:b/>
                <w:bCs/>
                <w:sz w:val="20"/>
                <w:szCs w:val="20"/>
              </w:rPr>
            </w:pPr>
            <w:r w:rsidRPr="000A1789">
              <w:rPr>
                <w:rFonts w:cs="Arial"/>
                <w:b/>
                <w:bCs/>
                <w:sz w:val="20"/>
                <w:szCs w:val="20"/>
              </w:rPr>
              <w:t>Exams</w:t>
            </w:r>
          </w:p>
        </w:tc>
        <w:tc>
          <w:tcPr>
            <w:tcW w:w="8222" w:type="dxa"/>
          </w:tcPr>
          <w:p w14:paraId="0C41E747" w14:textId="102C213F" w:rsidR="00A12583" w:rsidRDefault="00094C04" w:rsidP="00D35059">
            <w:pPr>
              <w:pStyle w:val="ListParagraph"/>
              <w:numPr>
                <w:ilvl w:val="0"/>
                <w:numId w:val="4"/>
              </w:numPr>
              <w:rPr>
                <w:rFonts w:eastAsia="Times New Roman" w:cstheme="minorHAnsi"/>
                <w:color w:val="0B0C0C"/>
                <w:sz w:val="20"/>
                <w:szCs w:val="20"/>
                <w:lang w:eastAsia="en-GB"/>
              </w:rPr>
            </w:pPr>
            <w:r>
              <w:rPr>
                <w:rFonts w:eastAsia="Times New Roman" w:cstheme="minorHAnsi"/>
                <w:color w:val="0B0C0C"/>
                <w:sz w:val="20"/>
                <w:szCs w:val="20"/>
                <w:lang w:eastAsia="en-GB"/>
              </w:rPr>
              <w:t>Exams</w:t>
            </w:r>
            <w:r w:rsidR="007C5085" w:rsidRPr="00A12583">
              <w:rPr>
                <w:rFonts w:eastAsia="Times New Roman" w:cstheme="minorHAnsi"/>
                <w:color w:val="0B0C0C"/>
                <w:sz w:val="20"/>
                <w:szCs w:val="20"/>
                <w:lang w:eastAsia="en-GB"/>
              </w:rPr>
              <w:t xml:space="preserve"> will go ahead next summer</w:t>
            </w:r>
            <w:r w:rsidR="00AA51CA">
              <w:rPr>
                <w:rFonts w:eastAsia="Times New Roman" w:cstheme="minorHAnsi"/>
                <w:color w:val="0B0C0C"/>
                <w:sz w:val="20"/>
                <w:szCs w:val="20"/>
                <w:lang w:eastAsia="en-GB"/>
              </w:rPr>
              <w:t>.</w:t>
            </w:r>
          </w:p>
          <w:p w14:paraId="18D43699" w14:textId="08042AA8" w:rsidR="007C5085" w:rsidRPr="004C46DC" w:rsidRDefault="00A12583" w:rsidP="00D35059">
            <w:pPr>
              <w:pStyle w:val="ListParagraph"/>
              <w:numPr>
                <w:ilvl w:val="0"/>
                <w:numId w:val="4"/>
              </w:numPr>
              <w:rPr>
                <w:rFonts w:eastAsia="Times New Roman" w:cstheme="minorHAnsi"/>
                <w:color w:val="0B0C0C"/>
                <w:sz w:val="20"/>
                <w:szCs w:val="20"/>
                <w:lang w:eastAsia="en-GB"/>
              </w:rPr>
            </w:pPr>
            <w:r>
              <w:rPr>
                <w:rFonts w:eastAsia="Times New Roman" w:cstheme="minorHAnsi"/>
                <w:color w:val="0B0C0C"/>
                <w:sz w:val="20"/>
                <w:szCs w:val="20"/>
                <w:lang w:eastAsia="en-GB"/>
              </w:rPr>
              <w:t>M</w:t>
            </w:r>
            <w:r w:rsidR="007C5085" w:rsidRPr="00A12583">
              <w:rPr>
                <w:rFonts w:eastAsia="Times New Roman" w:cstheme="minorHAnsi"/>
                <w:color w:val="0B0C0C"/>
                <w:sz w:val="20"/>
                <w:szCs w:val="20"/>
                <w:lang w:eastAsia="en-GB"/>
              </w:rPr>
              <w:t>ost AS, A levels and GCSEs will be held 3 weeks later</w:t>
            </w:r>
            <w:r w:rsidR="00AA51CA">
              <w:rPr>
                <w:rFonts w:eastAsia="Times New Roman" w:cstheme="minorHAnsi"/>
                <w:color w:val="0B0C0C"/>
                <w:sz w:val="20"/>
                <w:szCs w:val="20"/>
                <w:lang w:eastAsia="en-GB"/>
              </w:rPr>
              <w:t>.</w:t>
            </w:r>
            <w:r w:rsidR="007C5085" w:rsidRPr="00A12583">
              <w:rPr>
                <w:rFonts w:eastAsia="Times New Roman" w:cstheme="minorHAnsi"/>
                <w:color w:val="0B0C0C"/>
                <w:sz w:val="20"/>
                <w:szCs w:val="20"/>
                <w:lang w:eastAsia="en-GB"/>
              </w:rPr>
              <w:t xml:space="preserve"> </w:t>
            </w:r>
          </w:p>
        </w:tc>
        <w:tc>
          <w:tcPr>
            <w:tcW w:w="5528" w:type="dxa"/>
            <w:shd w:val="clear" w:color="auto" w:fill="E5DFEC" w:themeFill="accent4" w:themeFillTint="33"/>
          </w:tcPr>
          <w:p w14:paraId="203F4461" w14:textId="77777777" w:rsidR="007C5085" w:rsidRPr="004C46DC" w:rsidRDefault="007C5085">
            <w:pPr>
              <w:rPr>
                <w:rFonts w:cs="Arial"/>
                <w:sz w:val="20"/>
                <w:szCs w:val="20"/>
              </w:rPr>
            </w:pPr>
          </w:p>
        </w:tc>
      </w:tr>
      <w:tr w:rsidR="007C5085" w:rsidRPr="004C46DC" w14:paraId="70C957A6" w14:textId="77777777" w:rsidTr="005A6244">
        <w:tc>
          <w:tcPr>
            <w:tcW w:w="1276" w:type="dxa"/>
            <w:shd w:val="clear" w:color="auto" w:fill="E5DFEC" w:themeFill="accent4" w:themeFillTint="33"/>
          </w:tcPr>
          <w:p w14:paraId="45C380E3" w14:textId="3E87E990" w:rsidR="007C5085" w:rsidRPr="000F527F" w:rsidRDefault="000F527F">
            <w:pPr>
              <w:rPr>
                <w:rFonts w:cs="Arial"/>
                <w:b/>
                <w:bCs/>
                <w:sz w:val="20"/>
                <w:szCs w:val="20"/>
              </w:rPr>
            </w:pPr>
            <w:r w:rsidRPr="000F527F">
              <w:rPr>
                <w:rFonts w:cs="Arial"/>
                <w:b/>
                <w:bCs/>
                <w:sz w:val="20"/>
                <w:szCs w:val="20"/>
              </w:rPr>
              <w:t>Sport and Physical Education</w:t>
            </w:r>
          </w:p>
        </w:tc>
        <w:tc>
          <w:tcPr>
            <w:tcW w:w="8222" w:type="dxa"/>
          </w:tcPr>
          <w:p w14:paraId="0E518E25" w14:textId="6BABEB5D" w:rsidR="007C5085" w:rsidRPr="000F527F" w:rsidRDefault="00094C04" w:rsidP="000F527F">
            <w:pPr>
              <w:pStyle w:val="ListParagraph"/>
              <w:numPr>
                <w:ilvl w:val="0"/>
                <w:numId w:val="5"/>
              </w:numPr>
              <w:spacing w:after="300"/>
              <w:rPr>
                <w:rFonts w:eastAsia="Times New Roman" w:cstheme="minorHAnsi"/>
                <w:color w:val="0B0C0C"/>
                <w:sz w:val="20"/>
                <w:szCs w:val="20"/>
                <w:lang w:eastAsia="en-GB"/>
              </w:rPr>
            </w:pPr>
            <w:r>
              <w:rPr>
                <w:rFonts w:eastAsia="Times New Roman" w:cstheme="minorHAnsi"/>
                <w:color w:val="0B0C0C"/>
                <w:sz w:val="20"/>
                <w:szCs w:val="20"/>
                <w:lang w:eastAsia="en-GB"/>
              </w:rPr>
              <w:t>Flexibility</w:t>
            </w:r>
            <w:r w:rsidR="007C5085" w:rsidRPr="000F527F">
              <w:rPr>
                <w:rFonts w:eastAsia="Times New Roman" w:cstheme="minorHAnsi"/>
                <w:color w:val="0B0C0C"/>
                <w:sz w:val="20"/>
                <w:szCs w:val="20"/>
                <w:lang w:eastAsia="en-GB"/>
              </w:rPr>
              <w:t xml:space="preserve"> to decide how </w:t>
            </w:r>
            <w:r>
              <w:rPr>
                <w:rFonts w:eastAsia="Times New Roman" w:cstheme="minorHAnsi"/>
                <w:color w:val="0B0C0C"/>
                <w:sz w:val="20"/>
                <w:szCs w:val="20"/>
                <w:lang w:eastAsia="en-GB"/>
              </w:rPr>
              <w:t>PE</w:t>
            </w:r>
            <w:r w:rsidR="007C5085" w:rsidRPr="000F527F">
              <w:rPr>
                <w:rFonts w:eastAsia="Times New Roman" w:cstheme="minorHAnsi"/>
                <w:color w:val="0B0C0C"/>
                <w:sz w:val="20"/>
                <w:szCs w:val="20"/>
                <w:lang w:eastAsia="en-GB"/>
              </w:rPr>
              <w:t>, sport and physical activity will be provided whilst following the measures in system of controls.</w:t>
            </w:r>
          </w:p>
          <w:p w14:paraId="0529D592" w14:textId="77777777" w:rsidR="00A82793" w:rsidRDefault="007C5085" w:rsidP="000F527F">
            <w:pPr>
              <w:pStyle w:val="ListParagraph"/>
              <w:numPr>
                <w:ilvl w:val="0"/>
                <w:numId w:val="5"/>
              </w:numPr>
              <w:rPr>
                <w:rFonts w:eastAsia="Times New Roman" w:cstheme="minorHAnsi"/>
                <w:color w:val="0B0C0C"/>
                <w:sz w:val="20"/>
                <w:szCs w:val="20"/>
                <w:lang w:eastAsia="en-GB"/>
              </w:rPr>
            </w:pPr>
            <w:r w:rsidRPr="000F527F">
              <w:rPr>
                <w:rFonts w:eastAsia="Times New Roman" w:cstheme="minorHAnsi"/>
                <w:color w:val="0B0C0C"/>
                <w:sz w:val="20"/>
                <w:szCs w:val="20"/>
                <w:lang w:eastAsia="en-GB"/>
              </w:rPr>
              <w:t xml:space="preserve">Sports whose national governing bodies have developed guidance under the principles of the government’s guidance on team sport and been approved by the government are permitted. </w:t>
            </w:r>
          </w:p>
          <w:p w14:paraId="7154B68F" w14:textId="77777777" w:rsidR="00A82793" w:rsidRDefault="007C5085" w:rsidP="000F527F">
            <w:pPr>
              <w:pStyle w:val="ListParagraph"/>
              <w:numPr>
                <w:ilvl w:val="0"/>
                <w:numId w:val="5"/>
              </w:numPr>
              <w:rPr>
                <w:rFonts w:eastAsia="Times New Roman" w:cstheme="minorHAnsi"/>
                <w:color w:val="0B0C0C"/>
                <w:sz w:val="20"/>
                <w:szCs w:val="20"/>
                <w:lang w:eastAsia="en-GB"/>
              </w:rPr>
            </w:pPr>
            <w:r w:rsidRPr="000F527F">
              <w:rPr>
                <w:rFonts w:eastAsia="Times New Roman" w:cstheme="minorHAnsi"/>
                <w:color w:val="0B0C0C"/>
                <w:sz w:val="20"/>
                <w:szCs w:val="20"/>
                <w:lang w:eastAsia="en-GB"/>
              </w:rPr>
              <w:t xml:space="preserve">Schools must only provide team sports listed on the </w:t>
            </w:r>
            <w:hyperlink r:id="rId11" w:history="1">
              <w:r w:rsidRPr="000F527F">
                <w:rPr>
                  <w:rFonts w:eastAsia="Times New Roman" w:cstheme="minorHAnsi"/>
                  <w:color w:val="1D70B8"/>
                  <w:sz w:val="20"/>
                  <w:szCs w:val="20"/>
                  <w:u w:val="single"/>
                  <w:bdr w:val="none" w:sz="0" w:space="0" w:color="auto" w:frame="1"/>
                  <w:lang w:eastAsia="en-GB"/>
                </w:rPr>
                <w:t>return to recreational team sport framework</w:t>
              </w:r>
            </w:hyperlink>
            <w:r w:rsidRPr="000F527F">
              <w:rPr>
                <w:rFonts w:eastAsia="Times New Roman" w:cstheme="minorHAnsi"/>
                <w:color w:val="0B0C0C"/>
                <w:sz w:val="20"/>
                <w:szCs w:val="20"/>
                <w:lang w:eastAsia="en-GB"/>
              </w:rPr>
              <w:t xml:space="preserve">. </w:t>
            </w:r>
          </w:p>
          <w:p w14:paraId="69C6E865" w14:textId="0836F44B" w:rsidR="007C5085" w:rsidRPr="000F527F" w:rsidRDefault="007C5085" w:rsidP="000F527F">
            <w:pPr>
              <w:pStyle w:val="ListParagraph"/>
              <w:numPr>
                <w:ilvl w:val="0"/>
                <w:numId w:val="5"/>
              </w:numPr>
              <w:rPr>
                <w:rFonts w:eastAsia="Times New Roman" w:cstheme="minorHAnsi"/>
                <w:color w:val="0B0C0C"/>
                <w:sz w:val="20"/>
                <w:szCs w:val="20"/>
                <w:lang w:eastAsia="en-GB"/>
              </w:rPr>
            </w:pPr>
            <w:r w:rsidRPr="000F527F">
              <w:rPr>
                <w:rFonts w:eastAsia="Times New Roman" w:cstheme="minorHAnsi"/>
                <w:color w:val="0B0C0C"/>
                <w:sz w:val="20"/>
                <w:szCs w:val="20"/>
                <w:lang w:eastAsia="en-GB"/>
              </w:rPr>
              <w:t>Competition between different schools should not take place</w:t>
            </w:r>
            <w:r w:rsidR="00AA51CA">
              <w:rPr>
                <w:rFonts w:eastAsia="Times New Roman" w:cstheme="minorHAnsi"/>
                <w:color w:val="0B0C0C"/>
                <w:sz w:val="20"/>
                <w:szCs w:val="20"/>
                <w:lang w:eastAsia="en-GB"/>
              </w:rPr>
              <w:t>.</w:t>
            </w:r>
          </w:p>
          <w:p w14:paraId="0ECE6B6C" w14:textId="77777777" w:rsidR="007C5085" w:rsidRPr="000F527F" w:rsidRDefault="007C5085" w:rsidP="000F527F">
            <w:pPr>
              <w:pStyle w:val="ListParagraph"/>
              <w:numPr>
                <w:ilvl w:val="0"/>
                <w:numId w:val="5"/>
              </w:numPr>
              <w:spacing w:before="300" w:after="300"/>
              <w:rPr>
                <w:rFonts w:eastAsia="Times New Roman" w:cstheme="minorHAnsi"/>
                <w:color w:val="0B0C0C"/>
                <w:sz w:val="20"/>
                <w:szCs w:val="20"/>
                <w:lang w:eastAsia="en-GB"/>
              </w:rPr>
            </w:pPr>
            <w:r w:rsidRPr="000F527F">
              <w:rPr>
                <w:rFonts w:eastAsia="Times New Roman" w:cstheme="minorHAnsi"/>
                <w:color w:val="0B0C0C"/>
                <w:sz w:val="20"/>
                <w:szCs w:val="20"/>
                <w:lang w:eastAsia="en-GB"/>
              </w:rPr>
              <w:t>Pupils should be kept in consistent groups and sports equipment thoroughly cleaned between each use by different individual groups.</w:t>
            </w:r>
          </w:p>
          <w:p w14:paraId="124403A2" w14:textId="480CF5E6" w:rsidR="00A82793" w:rsidRDefault="007C5085" w:rsidP="000F527F">
            <w:pPr>
              <w:pStyle w:val="ListParagraph"/>
              <w:numPr>
                <w:ilvl w:val="0"/>
                <w:numId w:val="5"/>
              </w:numPr>
              <w:spacing w:before="300" w:after="300"/>
              <w:rPr>
                <w:rFonts w:eastAsia="Times New Roman" w:cstheme="minorHAnsi"/>
                <w:color w:val="0B0C0C"/>
                <w:sz w:val="20"/>
                <w:szCs w:val="20"/>
                <w:lang w:eastAsia="en-GB"/>
              </w:rPr>
            </w:pPr>
            <w:r w:rsidRPr="000F527F">
              <w:rPr>
                <w:rFonts w:eastAsia="Times New Roman" w:cstheme="minorHAnsi"/>
                <w:color w:val="0B0C0C"/>
                <w:sz w:val="20"/>
                <w:szCs w:val="20"/>
                <w:lang w:eastAsia="en-GB"/>
              </w:rPr>
              <w:t>Outdoor sports should be prioritised where possible, and large indoor spaces used where it is not, maximising natural ventilation flows</w:t>
            </w:r>
            <w:r w:rsidR="00250CD9">
              <w:rPr>
                <w:rFonts w:eastAsia="Times New Roman" w:cstheme="minorHAnsi"/>
                <w:color w:val="0B0C0C"/>
                <w:sz w:val="20"/>
                <w:szCs w:val="20"/>
                <w:lang w:eastAsia="en-GB"/>
              </w:rPr>
              <w:t xml:space="preserve">, </w:t>
            </w:r>
            <w:r w:rsidRPr="000F527F">
              <w:rPr>
                <w:rFonts w:eastAsia="Times New Roman" w:cstheme="minorHAnsi"/>
                <w:color w:val="0B0C0C"/>
                <w:sz w:val="20"/>
                <w:szCs w:val="20"/>
                <w:lang w:eastAsia="en-GB"/>
              </w:rPr>
              <w:t xml:space="preserve">distancing between pupils and paying scrupulous attention to cleaning and hygiene. </w:t>
            </w:r>
          </w:p>
          <w:p w14:paraId="1FFBC3F6" w14:textId="5E237B74" w:rsidR="007C5085" w:rsidRPr="000F527F" w:rsidRDefault="007C5085" w:rsidP="000F527F">
            <w:pPr>
              <w:pStyle w:val="ListParagraph"/>
              <w:numPr>
                <w:ilvl w:val="0"/>
                <w:numId w:val="5"/>
              </w:numPr>
              <w:spacing w:before="300" w:after="300"/>
              <w:rPr>
                <w:rFonts w:eastAsia="Times New Roman" w:cstheme="minorHAnsi"/>
                <w:color w:val="0B0C0C"/>
                <w:sz w:val="20"/>
                <w:szCs w:val="20"/>
                <w:lang w:eastAsia="en-GB"/>
              </w:rPr>
            </w:pPr>
            <w:r w:rsidRPr="000F527F">
              <w:rPr>
                <w:rFonts w:eastAsia="Times New Roman" w:cstheme="minorHAnsi"/>
                <w:color w:val="0B0C0C"/>
                <w:sz w:val="20"/>
                <w:szCs w:val="20"/>
                <w:lang w:eastAsia="en-GB"/>
              </w:rPr>
              <w:t>External facilities can also be used in line with government guidance for the use of, and travel to and from, those facilities.</w:t>
            </w:r>
          </w:p>
          <w:p w14:paraId="189970E9" w14:textId="23D2CF99" w:rsidR="007C5085" w:rsidRPr="000F527F" w:rsidRDefault="007C5085" w:rsidP="000F527F">
            <w:pPr>
              <w:pStyle w:val="ListParagraph"/>
              <w:numPr>
                <w:ilvl w:val="0"/>
                <w:numId w:val="5"/>
              </w:numPr>
              <w:spacing w:before="300" w:after="300"/>
              <w:rPr>
                <w:rFonts w:eastAsia="Times New Roman" w:cstheme="minorHAnsi"/>
                <w:color w:val="0B0C0C"/>
                <w:sz w:val="20"/>
                <w:szCs w:val="20"/>
                <w:lang w:eastAsia="en-GB"/>
              </w:rPr>
            </w:pPr>
            <w:r w:rsidRPr="000F527F">
              <w:rPr>
                <w:rFonts w:eastAsia="Times New Roman" w:cstheme="minorHAnsi"/>
                <w:color w:val="0B0C0C"/>
                <w:sz w:val="20"/>
                <w:szCs w:val="20"/>
                <w:lang w:eastAsia="en-GB"/>
              </w:rPr>
              <w:t xml:space="preserve">Schools </w:t>
            </w:r>
            <w:proofErr w:type="gramStart"/>
            <w:r w:rsidRPr="000F527F">
              <w:rPr>
                <w:rFonts w:eastAsia="Times New Roman" w:cstheme="minorHAnsi"/>
                <w:color w:val="0B0C0C"/>
                <w:sz w:val="20"/>
                <w:szCs w:val="20"/>
                <w:lang w:eastAsia="en-GB"/>
              </w:rPr>
              <w:t>are able to</w:t>
            </w:r>
            <w:proofErr w:type="gramEnd"/>
            <w:r w:rsidRPr="000F527F">
              <w:rPr>
                <w:rFonts w:eastAsia="Times New Roman" w:cstheme="minorHAnsi"/>
                <w:color w:val="0B0C0C"/>
                <w:sz w:val="20"/>
                <w:szCs w:val="20"/>
                <w:lang w:eastAsia="en-GB"/>
              </w:rPr>
              <w:t xml:space="preserve"> work with external coaches, clubs and organisations for curricular activities where they are satisfied that it is safe to do so. </w:t>
            </w:r>
          </w:p>
          <w:p w14:paraId="518D6B7E" w14:textId="364CE0F5" w:rsidR="007C5085" w:rsidRPr="000F527F" w:rsidRDefault="0003643F" w:rsidP="000F527F">
            <w:pPr>
              <w:pStyle w:val="ListParagraph"/>
              <w:numPr>
                <w:ilvl w:val="0"/>
                <w:numId w:val="5"/>
              </w:numPr>
              <w:spacing w:before="300" w:after="300"/>
              <w:rPr>
                <w:rFonts w:eastAsia="Times New Roman" w:cstheme="minorHAnsi"/>
                <w:color w:val="0B0C0C"/>
                <w:sz w:val="20"/>
                <w:szCs w:val="20"/>
                <w:lang w:eastAsia="en-GB"/>
              </w:rPr>
            </w:pPr>
            <w:r>
              <w:rPr>
                <w:rFonts w:eastAsia="Times New Roman" w:cstheme="minorHAnsi"/>
                <w:color w:val="0B0C0C"/>
                <w:sz w:val="20"/>
                <w:szCs w:val="20"/>
                <w:lang w:eastAsia="en-GB"/>
              </w:rPr>
              <w:t>Consider</w:t>
            </w:r>
            <w:r w:rsidR="007C5085" w:rsidRPr="000F527F">
              <w:rPr>
                <w:rFonts w:eastAsia="Times New Roman" w:cstheme="minorHAnsi"/>
                <w:color w:val="0B0C0C"/>
                <w:sz w:val="20"/>
                <w:szCs w:val="20"/>
                <w:lang w:eastAsia="en-GB"/>
              </w:rPr>
              <w:t xml:space="preserve"> carefully how such arrangements can operate within wider protective measures.</w:t>
            </w:r>
          </w:p>
          <w:p w14:paraId="7066EB5A" w14:textId="34443C60" w:rsidR="007C5085" w:rsidRPr="00D35059" w:rsidRDefault="007C5085" w:rsidP="00D35059">
            <w:pPr>
              <w:pStyle w:val="ListParagraph"/>
              <w:numPr>
                <w:ilvl w:val="0"/>
                <w:numId w:val="5"/>
              </w:numPr>
              <w:spacing w:before="300"/>
              <w:rPr>
                <w:rFonts w:eastAsia="Times New Roman" w:cstheme="minorHAnsi"/>
                <w:color w:val="0B0C0C"/>
                <w:sz w:val="20"/>
                <w:szCs w:val="20"/>
                <w:lang w:eastAsia="en-GB"/>
              </w:rPr>
            </w:pPr>
            <w:r w:rsidRPr="000F527F">
              <w:rPr>
                <w:rFonts w:eastAsia="Times New Roman" w:cstheme="minorHAnsi"/>
                <w:color w:val="0B0C0C"/>
                <w:sz w:val="20"/>
                <w:szCs w:val="20"/>
                <w:lang w:eastAsia="en-GB"/>
              </w:rPr>
              <w:t>Activities such as active miles, making break times and lessons active and encouraging active travel help to enable pupils to be physically active while encouraging physical distancing.</w:t>
            </w:r>
          </w:p>
        </w:tc>
        <w:tc>
          <w:tcPr>
            <w:tcW w:w="5528" w:type="dxa"/>
            <w:shd w:val="clear" w:color="auto" w:fill="E5DFEC" w:themeFill="accent4" w:themeFillTint="33"/>
          </w:tcPr>
          <w:p w14:paraId="375FC9B1" w14:textId="77777777" w:rsidR="007C5085" w:rsidRPr="004C46DC" w:rsidRDefault="007C5085">
            <w:pPr>
              <w:rPr>
                <w:rFonts w:cs="Arial"/>
                <w:sz w:val="20"/>
                <w:szCs w:val="20"/>
              </w:rPr>
            </w:pPr>
          </w:p>
        </w:tc>
      </w:tr>
    </w:tbl>
    <w:p w14:paraId="77347F07" w14:textId="77777777" w:rsidR="007E3EF4" w:rsidRPr="004C46DC" w:rsidRDefault="007E3EF4">
      <w:pPr>
        <w:rPr>
          <w:rFonts w:cs="Arial"/>
          <w:sz w:val="20"/>
          <w:szCs w:val="20"/>
        </w:rPr>
      </w:pPr>
    </w:p>
    <w:sectPr w:rsidR="007E3EF4" w:rsidRPr="004C46DC" w:rsidSect="00916DCF">
      <w:pgSz w:w="16838" w:h="11906" w:orient="landscape"/>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28D1"/>
    <w:multiLevelType w:val="hybridMultilevel"/>
    <w:tmpl w:val="06343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BE049F"/>
    <w:multiLevelType w:val="multilevel"/>
    <w:tmpl w:val="D5584E9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 w15:restartNumberingAfterBreak="0">
    <w:nsid w:val="11D1451A"/>
    <w:multiLevelType w:val="hybridMultilevel"/>
    <w:tmpl w:val="89843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472BC"/>
    <w:multiLevelType w:val="hybridMultilevel"/>
    <w:tmpl w:val="A6105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0F22D7"/>
    <w:multiLevelType w:val="hybridMultilevel"/>
    <w:tmpl w:val="8CF64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5A5186"/>
    <w:multiLevelType w:val="hybridMultilevel"/>
    <w:tmpl w:val="2E20C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FC77F9"/>
    <w:multiLevelType w:val="hybridMultilevel"/>
    <w:tmpl w:val="F4CA7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3922C2"/>
    <w:multiLevelType w:val="hybridMultilevel"/>
    <w:tmpl w:val="D2E4E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1374FE"/>
    <w:multiLevelType w:val="hybridMultilevel"/>
    <w:tmpl w:val="DA4C1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4"/>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85"/>
    <w:rsid w:val="0003643F"/>
    <w:rsid w:val="00065B1A"/>
    <w:rsid w:val="000846E6"/>
    <w:rsid w:val="00094C04"/>
    <w:rsid w:val="000A1789"/>
    <w:rsid w:val="000A1EAD"/>
    <w:rsid w:val="000E282F"/>
    <w:rsid w:val="000F527F"/>
    <w:rsid w:val="001B4A1F"/>
    <w:rsid w:val="001B6C19"/>
    <w:rsid w:val="001E2DB9"/>
    <w:rsid w:val="00220CCD"/>
    <w:rsid w:val="00250CD9"/>
    <w:rsid w:val="002737BF"/>
    <w:rsid w:val="00286487"/>
    <w:rsid w:val="002A6A09"/>
    <w:rsid w:val="002F0228"/>
    <w:rsid w:val="0030250A"/>
    <w:rsid w:val="00331E51"/>
    <w:rsid w:val="00453466"/>
    <w:rsid w:val="00484047"/>
    <w:rsid w:val="004C46DC"/>
    <w:rsid w:val="00503D5D"/>
    <w:rsid w:val="00542F1A"/>
    <w:rsid w:val="00597F74"/>
    <w:rsid w:val="005A6244"/>
    <w:rsid w:val="00624BDC"/>
    <w:rsid w:val="006A2D1D"/>
    <w:rsid w:val="0072276E"/>
    <w:rsid w:val="007A24D7"/>
    <w:rsid w:val="007A2783"/>
    <w:rsid w:val="007A3FEF"/>
    <w:rsid w:val="007C5085"/>
    <w:rsid w:val="007E3EF4"/>
    <w:rsid w:val="007F0124"/>
    <w:rsid w:val="008071B2"/>
    <w:rsid w:val="008155E4"/>
    <w:rsid w:val="00834B12"/>
    <w:rsid w:val="00916DCF"/>
    <w:rsid w:val="009455AD"/>
    <w:rsid w:val="00946DBB"/>
    <w:rsid w:val="00970BD4"/>
    <w:rsid w:val="00980C6E"/>
    <w:rsid w:val="00A12583"/>
    <w:rsid w:val="00A82793"/>
    <w:rsid w:val="00A82CFA"/>
    <w:rsid w:val="00AA51CA"/>
    <w:rsid w:val="00AF7296"/>
    <w:rsid w:val="00B0469F"/>
    <w:rsid w:val="00BD384E"/>
    <w:rsid w:val="00BF7ACA"/>
    <w:rsid w:val="00C035D4"/>
    <w:rsid w:val="00C2414A"/>
    <w:rsid w:val="00CB1789"/>
    <w:rsid w:val="00CB4E25"/>
    <w:rsid w:val="00CC3152"/>
    <w:rsid w:val="00CF248B"/>
    <w:rsid w:val="00D17E25"/>
    <w:rsid w:val="00D26C7F"/>
    <w:rsid w:val="00D35059"/>
    <w:rsid w:val="00D53465"/>
    <w:rsid w:val="00D65354"/>
    <w:rsid w:val="00E32BE6"/>
    <w:rsid w:val="00E36DB4"/>
    <w:rsid w:val="00EA6435"/>
    <w:rsid w:val="00EE153E"/>
    <w:rsid w:val="00F53075"/>
    <w:rsid w:val="00F65444"/>
    <w:rsid w:val="00F9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2EBE"/>
  <w15:chartTrackingRefBased/>
  <w15:docId w15:val="{DDE9F5D4-E492-4A8F-B7DF-830C50E2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7C5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C19"/>
    <w:pPr>
      <w:ind w:left="720"/>
      <w:contextualSpacing/>
    </w:pPr>
  </w:style>
  <w:style w:type="character" w:styleId="Hyperlink">
    <w:name w:val="Hyperlink"/>
    <w:basedOn w:val="DefaultParagraphFont"/>
    <w:uiPriority w:val="99"/>
    <w:unhideWhenUsed/>
    <w:rsid w:val="00503D5D"/>
    <w:rPr>
      <w:color w:val="0000FF" w:themeColor="hyperlink"/>
      <w:u w:val="single"/>
    </w:rPr>
  </w:style>
  <w:style w:type="character" w:styleId="UnresolvedMention">
    <w:name w:val="Unresolved Mention"/>
    <w:basedOn w:val="DefaultParagraphFont"/>
    <w:uiPriority w:val="99"/>
    <w:semiHidden/>
    <w:unhideWhenUsed/>
    <w:rsid w:val="00503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ducation-and-childcare-settings-new-national-restrictions-from-5-november-2020?utm_source=7427a8d7-6fbd-4315-b29f-2c648cfb91a1&amp;utm_medium=email&amp;utm_campaign=govuk-notifications&amp;utm_content=immediat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guidance-on-phased-return-of-sport-and-recreation/return-to-recreational-team-sport-framework" TargetMode="External"/><Relationship Id="rId5" Type="http://schemas.openxmlformats.org/officeDocument/2006/relationships/styles" Target="styles.xml"/><Relationship Id="rId10" Type="http://schemas.openxmlformats.org/officeDocument/2006/relationships/hyperlink" Target="https://www.gov.uk/guidance/coronavirus-covid-19-safer-travel-guidance-for-passengers" TargetMode="Externa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8" ma:contentTypeDescription="Create a new document." ma:contentTypeScope="" ma:versionID="3e309713dffe24fa4f119ba829fb2127">
  <xsd:schema xmlns:xsd="http://www.w3.org/2001/XMLSchema" xmlns:xs="http://www.w3.org/2001/XMLSchema" xmlns:p="http://schemas.microsoft.com/office/2006/metadata/properties" xmlns:ns3="feceaa4f-2705-4c59-9997-b5a36bc4899e" targetNamespace="http://schemas.microsoft.com/office/2006/metadata/properties" ma:root="true" ma:fieldsID="e4b5c60ef72eaadc4e3cacb6eb702414" ns3:_="">
    <xsd:import namespace="feceaa4f-2705-4c59-9997-b5a36bc489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EFC47-9545-411E-A996-78165E60D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D5B39-7615-4455-B00A-4DE587DAF49E}">
  <ds:schemaRefs>
    <ds:schemaRef ds:uri="http://schemas.microsoft.com/sharepoint/v3/contenttype/forms"/>
  </ds:schemaRefs>
</ds:datastoreItem>
</file>

<file path=customXml/itemProps3.xml><?xml version="1.0" encoding="utf-8"?>
<ds:datastoreItem xmlns:ds="http://schemas.openxmlformats.org/officeDocument/2006/customXml" ds:itemID="{332838AA-872A-48C0-9190-41F0198641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Wells</dc:creator>
  <cp:keywords/>
  <dc:description/>
  <cp:lastModifiedBy>Katherine Wells</cp:lastModifiedBy>
  <cp:revision>2</cp:revision>
  <dcterms:created xsi:type="dcterms:W3CDTF">2020-11-05T10:45:00Z</dcterms:created>
  <dcterms:modified xsi:type="dcterms:W3CDTF">2020-11-05T10:45:00Z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