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2F69F6" w14:textId="5063A58E" w:rsidR="00122EDB" w:rsidRDefault="00122EDB" w:rsidP="00CE4765">
      <w:pPr>
        <w:pStyle w:val="Heading2"/>
        <w:spacing w:after="300" w:line="525" w:lineRule="atLeast"/>
        <w:jc w:val="center"/>
        <w:rPr>
          <w:rFonts w:asciiTheme="minorHAnsi" w:eastAsia="Times New Roman" w:hAnsiTheme="minorHAnsi" w:cstheme="minorHAnsi"/>
          <w:b/>
          <w:bCs/>
          <w:color w:val="0B0C0C"/>
          <w:sz w:val="28"/>
          <w:szCs w:val="28"/>
        </w:rPr>
      </w:pPr>
      <w:r>
        <w:rPr>
          <w:noProof/>
          <w:sz w:val="22"/>
        </w:rPr>
        <w:drawing>
          <wp:anchor distT="0" distB="0" distL="114300" distR="114300" simplePos="0" relativeHeight="251658240" behindDoc="0" locked="0" layoutInCell="1" allowOverlap="1" wp14:anchorId="5F42442B" wp14:editId="4653A1D7">
            <wp:simplePos x="0" y="0"/>
            <wp:positionH relativeFrom="column">
              <wp:posOffset>-495300</wp:posOffset>
            </wp:positionH>
            <wp:positionV relativeFrom="paragraph">
              <wp:posOffset>-485140</wp:posOffset>
            </wp:positionV>
            <wp:extent cx="1261745" cy="126174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61745" cy="1261745"/>
                    </a:xfrm>
                    <a:prstGeom prst="rect">
                      <a:avLst/>
                    </a:prstGeom>
                    <a:noFill/>
                  </pic:spPr>
                </pic:pic>
              </a:graphicData>
            </a:graphic>
            <wp14:sizeRelH relativeFrom="page">
              <wp14:pctWidth>0</wp14:pctWidth>
            </wp14:sizeRelH>
            <wp14:sizeRelV relativeFrom="page">
              <wp14:pctHeight>0</wp14:pctHeight>
            </wp14:sizeRelV>
          </wp:anchor>
        </w:drawing>
      </w:r>
      <w:r>
        <w:rPr>
          <w:rFonts w:asciiTheme="minorHAnsi" w:eastAsia="Times New Roman" w:hAnsiTheme="minorHAnsi" w:cstheme="minorHAnsi"/>
          <w:b/>
          <w:bCs/>
          <w:color w:val="0B0C0C"/>
          <w:sz w:val="28"/>
          <w:szCs w:val="28"/>
        </w:rPr>
        <w:t>Summary of DfE Announcements and Guidance w/c 4</w:t>
      </w:r>
      <w:r w:rsidRPr="00122EDB">
        <w:rPr>
          <w:rFonts w:asciiTheme="minorHAnsi" w:eastAsia="Times New Roman" w:hAnsiTheme="minorHAnsi" w:cstheme="minorHAnsi"/>
          <w:b/>
          <w:bCs/>
          <w:color w:val="0B0C0C"/>
          <w:sz w:val="28"/>
          <w:szCs w:val="28"/>
          <w:vertAlign w:val="superscript"/>
        </w:rPr>
        <w:t>th</w:t>
      </w:r>
      <w:r>
        <w:rPr>
          <w:rFonts w:asciiTheme="minorHAnsi" w:eastAsia="Times New Roman" w:hAnsiTheme="minorHAnsi" w:cstheme="minorHAnsi"/>
          <w:b/>
          <w:bCs/>
          <w:color w:val="0B0C0C"/>
          <w:sz w:val="28"/>
          <w:szCs w:val="28"/>
        </w:rPr>
        <w:t xml:space="preserve"> January </w:t>
      </w:r>
    </w:p>
    <w:p w14:paraId="1C3651FC" w14:textId="77777777" w:rsidR="00122EDB" w:rsidRPr="00122EDB" w:rsidRDefault="00122EDB" w:rsidP="00122EDB"/>
    <w:p w14:paraId="486049F6" w14:textId="7E1A2363" w:rsidR="00BC358C" w:rsidRDefault="00BC358C" w:rsidP="00122EDB">
      <w:pPr>
        <w:pStyle w:val="Heading2"/>
        <w:spacing w:line="525" w:lineRule="atLeast"/>
        <w:rPr>
          <w:rFonts w:asciiTheme="minorHAnsi" w:eastAsia="Times New Roman" w:hAnsiTheme="minorHAnsi" w:cstheme="minorHAnsi"/>
          <w:b/>
          <w:bCs/>
          <w:color w:val="0B0C0C"/>
          <w:sz w:val="28"/>
          <w:szCs w:val="28"/>
        </w:rPr>
      </w:pPr>
      <w:r>
        <w:rPr>
          <w:rFonts w:asciiTheme="minorHAnsi" w:eastAsia="Times New Roman" w:hAnsiTheme="minorHAnsi" w:cstheme="minorHAnsi"/>
          <w:b/>
          <w:bCs/>
          <w:color w:val="0B0C0C"/>
          <w:sz w:val="28"/>
          <w:szCs w:val="28"/>
        </w:rPr>
        <w:t xml:space="preserve">Summary of DfE Announcements </w:t>
      </w:r>
    </w:p>
    <w:p w14:paraId="50C584E4" w14:textId="0D6AE2E2" w:rsidR="00C50BF4" w:rsidRDefault="00C50BF4" w:rsidP="00C50BF4">
      <w:pPr>
        <w:pStyle w:val="Heading2"/>
        <w:spacing w:before="0"/>
        <w:rPr>
          <w:rFonts w:asciiTheme="minorHAnsi" w:eastAsia="Times New Roman" w:hAnsiTheme="minorHAnsi" w:cstheme="minorHAnsi"/>
          <w:b/>
          <w:bCs/>
          <w:color w:val="0B0C0C"/>
          <w:sz w:val="22"/>
          <w:szCs w:val="22"/>
        </w:rPr>
      </w:pPr>
      <w:r>
        <w:rPr>
          <w:rFonts w:asciiTheme="minorHAnsi" w:eastAsia="Times New Roman" w:hAnsiTheme="minorHAnsi" w:cstheme="minorHAnsi"/>
          <w:b/>
          <w:bCs/>
          <w:color w:val="0B0C0C"/>
          <w:sz w:val="22"/>
          <w:szCs w:val="22"/>
        </w:rPr>
        <w:t>Announcements are from:</w:t>
      </w:r>
    </w:p>
    <w:p w14:paraId="465C7C1E" w14:textId="5FBF8105" w:rsidR="00A23654" w:rsidRPr="00C50BF4" w:rsidRDefault="00A23654" w:rsidP="00C50BF4">
      <w:pPr>
        <w:pStyle w:val="ListParagraph"/>
        <w:numPr>
          <w:ilvl w:val="0"/>
          <w:numId w:val="14"/>
        </w:numPr>
        <w:rPr>
          <w:rFonts w:eastAsia="Times New Roman" w:cstheme="minorHAnsi"/>
          <w:b/>
          <w:bCs/>
          <w:color w:val="0B0C0C"/>
          <w:sz w:val="22"/>
        </w:rPr>
      </w:pPr>
      <w:r w:rsidRPr="00C50BF4">
        <w:rPr>
          <w:rFonts w:eastAsia="Times New Roman" w:cstheme="minorHAnsi"/>
          <w:b/>
          <w:bCs/>
          <w:color w:val="0B0C0C"/>
          <w:sz w:val="22"/>
        </w:rPr>
        <w:t>National lockdown now in force – DfE Daily Update 5th January</w:t>
      </w:r>
    </w:p>
    <w:p w14:paraId="64603BA6" w14:textId="41BF83E8" w:rsidR="00874ADD" w:rsidRDefault="00A43C33" w:rsidP="00C50BF4">
      <w:pPr>
        <w:pStyle w:val="ListParagraph"/>
        <w:numPr>
          <w:ilvl w:val="0"/>
          <w:numId w:val="14"/>
        </w:numPr>
        <w:rPr>
          <w:rFonts w:eastAsia="Times New Roman" w:cstheme="minorHAnsi"/>
          <w:b/>
          <w:bCs/>
          <w:color w:val="0B0C0C"/>
          <w:kern w:val="36"/>
          <w:sz w:val="22"/>
          <w:lang w:eastAsia="en-GB"/>
        </w:rPr>
      </w:pPr>
      <w:hyperlink r:id="rId9" w:history="1">
        <w:r w:rsidR="00874ADD" w:rsidRPr="00BC358C">
          <w:rPr>
            <w:rStyle w:val="Hyperlink"/>
            <w:rFonts w:eastAsia="Times New Roman" w:cstheme="minorHAnsi"/>
            <w:b/>
            <w:bCs/>
            <w:kern w:val="36"/>
            <w:sz w:val="22"/>
            <w:lang w:eastAsia="en-GB"/>
          </w:rPr>
          <w:t>Education Secretary outlines plans to support young people</w:t>
        </w:r>
      </w:hyperlink>
      <w:r w:rsidR="00874ADD" w:rsidRPr="00BC358C">
        <w:rPr>
          <w:rFonts w:eastAsia="Times New Roman" w:cstheme="minorHAnsi"/>
          <w:b/>
          <w:bCs/>
          <w:color w:val="0B0C0C"/>
          <w:kern w:val="36"/>
          <w:sz w:val="22"/>
          <w:lang w:eastAsia="en-GB"/>
        </w:rPr>
        <w:t xml:space="preserve"> – 6</w:t>
      </w:r>
      <w:r w:rsidR="00874ADD" w:rsidRPr="00BC358C">
        <w:rPr>
          <w:rFonts w:eastAsia="Times New Roman" w:cstheme="minorHAnsi"/>
          <w:b/>
          <w:bCs/>
          <w:color w:val="0B0C0C"/>
          <w:kern w:val="36"/>
          <w:sz w:val="22"/>
          <w:vertAlign w:val="superscript"/>
          <w:lang w:eastAsia="en-GB"/>
        </w:rPr>
        <w:t>th</w:t>
      </w:r>
      <w:r w:rsidR="00874ADD" w:rsidRPr="00BC358C">
        <w:rPr>
          <w:rFonts w:eastAsia="Times New Roman" w:cstheme="minorHAnsi"/>
          <w:b/>
          <w:bCs/>
          <w:color w:val="0B0C0C"/>
          <w:kern w:val="36"/>
          <w:sz w:val="22"/>
          <w:lang w:eastAsia="en-GB"/>
        </w:rPr>
        <w:t xml:space="preserve"> January</w:t>
      </w:r>
    </w:p>
    <w:p w14:paraId="3B4F4ECE" w14:textId="1A5302D5" w:rsidR="0070172D" w:rsidRDefault="0070172D" w:rsidP="00C50BF4">
      <w:pPr>
        <w:pStyle w:val="ListParagraph"/>
        <w:numPr>
          <w:ilvl w:val="0"/>
          <w:numId w:val="14"/>
        </w:numPr>
        <w:rPr>
          <w:rFonts w:eastAsia="Times New Roman" w:cstheme="minorHAnsi"/>
          <w:b/>
          <w:bCs/>
          <w:color w:val="0B0C0C"/>
          <w:sz w:val="22"/>
        </w:rPr>
      </w:pPr>
      <w:r w:rsidRPr="0070172D">
        <w:rPr>
          <w:rFonts w:eastAsia="Times New Roman" w:cstheme="minorHAnsi"/>
          <w:b/>
          <w:bCs/>
          <w:color w:val="0B0C0C"/>
          <w:sz w:val="22"/>
        </w:rPr>
        <w:t>Information for schools with members of the National Education Union and Unison</w:t>
      </w:r>
      <w:r w:rsidR="001E6782">
        <w:rPr>
          <w:rFonts w:eastAsia="Times New Roman" w:cstheme="minorHAnsi"/>
          <w:b/>
          <w:bCs/>
          <w:color w:val="0B0C0C"/>
          <w:sz w:val="22"/>
        </w:rPr>
        <w:t xml:space="preserve"> – DfE Daily Update 7</w:t>
      </w:r>
      <w:r w:rsidR="001E6782" w:rsidRPr="00C50BF4">
        <w:rPr>
          <w:rFonts w:eastAsia="Times New Roman" w:cstheme="minorHAnsi"/>
          <w:b/>
          <w:bCs/>
          <w:color w:val="0B0C0C"/>
          <w:sz w:val="22"/>
        </w:rPr>
        <w:t>th</w:t>
      </w:r>
      <w:r w:rsidR="001E6782">
        <w:rPr>
          <w:rFonts w:eastAsia="Times New Roman" w:cstheme="minorHAnsi"/>
          <w:b/>
          <w:bCs/>
          <w:color w:val="0B0C0C"/>
          <w:sz w:val="22"/>
        </w:rPr>
        <w:t xml:space="preserve"> January</w:t>
      </w:r>
    </w:p>
    <w:p w14:paraId="78E0F8CA" w14:textId="77777777" w:rsidR="00C50BF4" w:rsidRDefault="00F06C50" w:rsidP="00C50BF4">
      <w:pPr>
        <w:rPr>
          <w:b/>
          <w:bCs/>
        </w:rPr>
      </w:pPr>
      <w:r w:rsidRPr="00C50BF4">
        <w:rPr>
          <w:rFonts w:eastAsia="Times New Roman" w:cstheme="minorHAnsi"/>
          <w:b/>
          <w:bCs/>
          <w:color w:val="0B0C0C"/>
          <w:sz w:val="22"/>
        </w:rPr>
        <w:t>Actions are from</w:t>
      </w:r>
      <w:r w:rsidRPr="00C50BF4">
        <w:rPr>
          <w:b/>
          <w:bCs/>
        </w:rPr>
        <w:t xml:space="preserve">: </w:t>
      </w:r>
    </w:p>
    <w:p w14:paraId="20BF6BD7" w14:textId="08607E7B" w:rsidR="00C50BF4" w:rsidRPr="00C50BF4" w:rsidRDefault="00A43C33" w:rsidP="00C50BF4">
      <w:pPr>
        <w:pStyle w:val="ListParagraph"/>
        <w:numPr>
          <w:ilvl w:val="0"/>
          <w:numId w:val="14"/>
        </w:numPr>
        <w:rPr>
          <w:rFonts w:cstheme="minorHAnsi"/>
          <w:b/>
          <w:bCs/>
          <w:color w:val="0B0C0C"/>
        </w:rPr>
      </w:pPr>
      <w:hyperlink r:id="rId10" w:history="1">
        <w:r w:rsidR="00F06C50" w:rsidRPr="00C50BF4">
          <w:rPr>
            <w:rStyle w:val="Hyperlink"/>
            <w:rFonts w:eastAsia="Times New Roman" w:cstheme="minorHAnsi"/>
            <w:b/>
            <w:bCs/>
            <w:kern w:val="36"/>
            <w:sz w:val="22"/>
            <w:lang w:eastAsia="en-GB"/>
          </w:rPr>
          <w:t>Restricting attendance during the national lockdown: schools Guidance for all schools in England</w:t>
        </w:r>
      </w:hyperlink>
      <w:r w:rsidR="00F06C50" w:rsidRPr="00C50BF4">
        <w:rPr>
          <w:rStyle w:val="Hyperlink"/>
          <w:rFonts w:eastAsia="Times New Roman" w:cstheme="minorHAnsi"/>
          <w:kern w:val="36"/>
          <w:lang w:eastAsia="en-GB"/>
        </w:rPr>
        <w:t xml:space="preserve"> </w:t>
      </w:r>
      <w:r w:rsidR="00F06C50" w:rsidRPr="00C50BF4">
        <w:rPr>
          <w:rFonts w:eastAsia="Times New Roman" w:cstheme="minorHAnsi"/>
          <w:b/>
          <w:bCs/>
          <w:color w:val="0B0C0C"/>
          <w:sz w:val="22"/>
        </w:rPr>
        <w:t>(7th January update).</w:t>
      </w:r>
      <w:r w:rsidR="00F06C50" w:rsidRPr="00C50BF4">
        <w:rPr>
          <w:color w:val="0B0C0C"/>
        </w:rPr>
        <w:t xml:space="preserve">  </w:t>
      </w:r>
    </w:p>
    <w:p w14:paraId="0480A936" w14:textId="77777777" w:rsidR="00C50BF4" w:rsidRPr="00C50BF4" w:rsidRDefault="00C50BF4" w:rsidP="00C50BF4">
      <w:pPr>
        <w:pStyle w:val="ListParagraph"/>
        <w:rPr>
          <w:sz w:val="8"/>
          <w:szCs w:val="6"/>
        </w:rPr>
      </w:pPr>
    </w:p>
    <w:p w14:paraId="0CD0CBF9" w14:textId="52F7644D" w:rsidR="00F06C50" w:rsidRPr="00FB0FF0" w:rsidRDefault="00F06C50" w:rsidP="00C50BF4">
      <w:pPr>
        <w:rPr>
          <w:rFonts w:cstheme="minorHAnsi"/>
          <w:b/>
          <w:bCs/>
          <w:sz w:val="18"/>
          <w:szCs w:val="18"/>
        </w:rPr>
      </w:pPr>
      <w:r w:rsidRPr="00FB0FF0">
        <w:rPr>
          <w:sz w:val="20"/>
          <w:szCs w:val="18"/>
        </w:rPr>
        <w:t xml:space="preserve">Please refer to the document </w:t>
      </w:r>
      <w:r w:rsidR="00FB0FF0">
        <w:rPr>
          <w:sz w:val="20"/>
          <w:szCs w:val="18"/>
        </w:rPr>
        <w:t xml:space="preserve">links </w:t>
      </w:r>
      <w:r w:rsidRPr="00FB0FF0">
        <w:rPr>
          <w:sz w:val="20"/>
          <w:szCs w:val="18"/>
        </w:rPr>
        <w:t>for the full guidance and details</w:t>
      </w:r>
      <w:r w:rsidRPr="00FB0FF0">
        <w:rPr>
          <w:sz w:val="22"/>
          <w:szCs w:val="20"/>
        </w:rPr>
        <w:t>.</w:t>
      </w:r>
    </w:p>
    <w:p w14:paraId="07E0B7A7" w14:textId="77777777" w:rsidR="00F06C50" w:rsidRPr="00F06C50" w:rsidRDefault="00F06C50" w:rsidP="00F06C50">
      <w:pPr>
        <w:ind w:left="360"/>
        <w:rPr>
          <w:rFonts w:cstheme="minorHAnsi"/>
          <w:b/>
          <w:bCs/>
          <w:sz w:val="20"/>
          <w:szCs w:val="20"/>
        </w:rPr>
      </w:pPr>
    </w:p>
    <w:tbl>
      <w:tblPr>
        <w:tblStyle w:val="TableGrid"/>
        <w:tblW w:w="0" w:type="auto"/>
        <w:tblLook w:val="04A0" w:firstRow="1" w:lastRow="0" w:firstColumn="1" w:lastColumn="0" w:noHBand="0" w:noVBand="1"/>
      </w:tblPr>
      <w:tblGrid>
        <w:gridCol w:w="1599"/>
        <w:gridCol w:w="1808"/>
      </w:tblGrid>
      <w:tr w:rsidR="00AE001A" w:rsidRPr="0068698F" w14:paraId="37D44C2A" w14:textId="77777777" w:rsidTr="0068698F">
        <w:trPr>
          <w:trHeight w:val="50"/>
        </w:trPr>
        <w:tc>
          <w:tcPr>
            <w:tcW w:w="1555" w:type="dxa"/>
            <w:shd w:val="clear" w:color="auto" w:fill="C6D9F1" w:themeFill="text2" w:themeFillTint="33"/>
          </w:tcPr>
          <w:p w14:paraId="10995077" w14:textId="68D346E6" w:rsidR="00AE001A" w:rsidRPr="0068698F" w:rsidRDefault="00C50BF4" w:rsidP="00AE001A">
            <w:pPr>
              <w:rPr>
                <w:sz w:val="22"/>
                <w:szCs w:val="20"/>
              </w:rPr>
            </w:pPr>
            <w:r w:rsidRPr="0068698F">
              <w:rPr>
                <w:sz w:val="22"/>
                <w:szCs w:val="20"/>
              </w:rPr>
              <w:t>Announcement</w:t>
            </w:r>
          </w:p>
        </w:tc>
        <w:tc>
          <w:tcPr>
            <w:tcW w:w="1555" w:type="dxa"/>
            <w:shd w:val="clear" w:color="auto" w:fill="CCC0D9" w:themeFill="accent4" w:themeFillTint="66"/>
          </w:tcPr>
          <w:p w14:paraId="577716C2" w14:textId="72527AEB" w:rsidR="00AE001A" w:rsidRPr="0068698F" w:rsidRDefault="00C50BF4" w:rsidP="00AE001A">
            <w:pPr>
              <w:rPr>
                <w:sz w:val="22"/>
                <w:szCs w:val="20"/>
              </w:rPr>
            </w:pPr>
            <w:r w:rsidRPr="0068698F">
              <w:rPr>
                <w:sz w:val="22"/>
                <w:szCs w:val="20"/>
              </w:rPr>
              <w:t>Guidance/Actions</w:t>
            </w:r>
          </w:p>
        </w:tc>
      </w:tr>
    </w:tbl>
    <w:p w14:paraId="26C97FE3" w14:textId="77777777" w:rsidR="00B54FDC" w:rsidRPr="0068698F" w:rsidRDefault="00B54FDC" w:rsidP="00BC358C">
      <w:pPr>
        <w:rPr>
          <w:rFonts w:eastAsia="Times New Roman" w:cstheme="minorHAnsi"/>
          <w:b/>
          <w:bCs/>
          <w:color w:val="0B0C0C"/>
          <w:kern w:val="36"/>
          <w:sz w:val="20"/>
          <w:szCs w:val="20"/>
          <w:lang w:eastAsia="en-GB"/>
        </w:rPr>
      </w:pPr>
    </w:p>
    <w:tbl>
      <w:tblPr>
        <w:tblStyle w:val="TableGrid"/>
        <w:tblW w:w="14312" w:type="dxa"/>
        <w:tblLook w:val="04A0" w:firstRow="1" w:lastRow="0" w:firstColumn="1" w:lastColumn="0" w:noHBand="0" w:noVBand="1"/>
      </w:tblPr>
      <w:tblGrid>
        <w:gridCol w:w="1595"/>
        <w:gridCol w:w="9"/>
        <w:gridCol w:w="12708"/>
      </w:tblGrid>
      <w:tr w:rsidR="00B703FB" w:rsidRPr="00BC358C" w14:paraId="69C831B8" w14:textId="77777777" w:rsidTr="00345E5D">
        <w:tc>
          <w:tcPr>
            <w:tcW w:w="1604" w:type="dxa"/>
            <w:gridSpan w:val="2"/>
            <w:shd w:val="clear" w:color="auto" w:fill="8DB3E2" w:themeFill="text2" w:themeFillTint="66"/>
          </w:tcPr>
          <w:p w14:paraId="642A8CE7" w14:textId="77777777" w:rsidR="00B703FB" w:rsidRPr="00BC358C" w:rsidRDefault="00B703FB" w:rsidP="00122CBC">
            <w:pPr>
              <w:rPr>
                <w:rFonts w:cstheme="minorHAnsi"/>
                <w:b/>
                <w:bCs/>
                <w:sz w:val="22"/>
              </w:rPr>
            </w:pPr>
            <w:r w:rsidRPr="00BC358C">
              <w:rPr>
                <w:rFonts w:cstheme="minorHAnsi"/>
                <w:b/>
                <w:bCs/>
                <w:sz w:val="22"/>
              </w:rPr>
              <w:t>Area</w:t>
            </w:r>
          </w:p>
        </w:tc>
        <w:tc>
          <w:tcPr>
            <w:tcW w:w="12708" w:type="dxa"/>
            <w:shd w:val="clear" w:color="auto" w:fill="8DB3E2" w:themeFill="text2" w:themeFillTint="66"/>
          </w:tcPr>
          <w:p w14:paraId="4F6C776C" w14:textId="77777777" w:rsidR="00B703FB" w:rsidRPr="00BC358C" w:rsidRDefault="00B703FB" w:rsidP="00122CBC">
            <w:pPr>
              <w:rPr>
                <w:rFonts w:cstheme="minorHAnsi"/>
                <w:b/>
                <w:bCs/>
                <w:sz w:val="22"/>
              </w:rPr>
            </w:pPr>
            <w:r w:rsidRPr="00BC358C">
              <w:rPr>
                <w:rFonts w:cstheme="minorHAnsi"/>
                <w:b/>
                <w:bCs/>
                <w:sz w:val="22"/>
              </w:rPr>
              <w:t>Summary from Guidance</w:t>
            </w:r>
          </w:p>
        </w:tc>
      </w:tr>
      <w:tr w:rsidR="00B703FB" w:rsidRPr="00BC358C" w14:paraId="7CE5DBE0" w14:textId="77777777" w:rsidTr="00345E5D">
        <w:tc>
          <w:tcPr>
            <w:tcW w:w="1604" w:type="dxa"/>
            <w:gridSpan w:val="2"/>
            <w:shd w:val="clear" w:color="auto" w:fill="C6D9F1" w:themeFill="text2" w:themeFillTint="33"/>
          </w:tcPr>
          <w:p w14:paraId="35970BD4" w14:textId="77777777" w:rsidR="00B703FB" w:rsidRPr="00BC358C" w:rsidRDefault="00B703FB" w:rsidP="00122CBC">
            <w:pPr>
              <w:rPr>
                <w:rFonts w:cstheme="minorHAnsi"/>
                <w:b/>
                <w:bCs/>
                <w:sz w:val="22"/>
              </w:rPr>
            </w:pPr>
            <w:r w:rsidRPr="00BC358C">
              <w:rPr>
                <w:rFonts w:eastAsia="Times New Roman" w:cstheme="minorHAnsi"/>
                <w:b/>
                <w:bCs/>
                <w:color w:val="0B0C0C"/>
                <w:sz w:val="22"/>
              </w:rPr>
              <w:t>Vulnerable children and children of critical workers</w:t>
            </w:r>
          </w:p>
        </w:tc>
        <w:tc>
          <w:tcPr>
            <w:tcW w:w="12708" w:type="dxa"/>
          </w:tcPr>
          <w:p w14:paraId="7EAD8247" w14:textId="77777777" w:rsidR="00B703FB" w:rsidRPr="0000628E" w:rsidRDefault="00B703FB" w:rsidP="00122CBC">
            <w:pPr>
              <w:pStyle w:val="NormalWeb"/>
              <w:numPr>
                <w:ilvl w:val="0"/>
                <w:numId w:val="2"/>
              </w:numPr>
              <w:spacing w:before="0" w:beforeAutospacing="0" w:after="0" w:afterAutospacing="0"/>
              <w:rPr>
                <w:rFonts w:asciiTheme="minorHAnsi" w:hAnsiTheme="minorHAnsi" w:cstheme="minorHAnsi"/>
              </w:rPr>
            </w:pPr>
            <w:r w:rsidRPr="0000628E">
              <w:rPr>
                <w:rFonts w:asciiTheme="minorHAnsi" w:hAnsiTheme="minorHAnsi" w:cstheme="minorHAnsi"/>
              </w:rPr>
              <w:t xml:space="preserve">Schools and colleges should only allow vulnerable children and the children of critical workers to attend. </w:t>
            </w:r>
          </w:p>
          <w:p w14:paraId="616BDBD2" w14:textId="77777777" w:rsidR="00B703FB" w:rsidRPr="0000628E" w:rsidRDefault="00B703FB" w:rsidP="00122CBC">
            <w:pPr>
              <w:pStyle w:val="NormalWeb"/>
              <w:numPr>
                <w:ilvl w:val="0"/>
                <w:numId w:val="2"/>
              </w:numPr>
              <w:spacing w:before="0" w:beforeAutospacing="0" w:after="0" w:afterAutospacing="0"/>
              <w:rPr>
                <w:rFonts w:asciiTheme="minorHAnsi" w:hAnsiTheme="minorHAnsi" w:cstheme="minorHAnsi"/>
              </w:rPr>
            </w:pPr>
            <w:r w:rsidRPr="0000628E">
              <w:rPr>
                <w:rFonts w:asciiTheme="minorHAnsi" w:hAnsiTheme="minorHAnsi" w:cstheme="minorHAnsi"/>
              </w:rPr>
              <w:t xml:space="preserve">Children with at least one parent or carer who is </w:t>
            </w:r>
            <w:hyperlink r:id="rId11" w:history="1">
              <w:r w:rsidRPr="001F4698">
                <w:rPr>
                  <w:rStyle w:val="Hyperlink"/>
                  <w:rFonts w:asciiTheme="minorHAnsi" w:hAnsiTheme="minorHAnsi" w:cstheme="minorBidi"/>
                  <w:lang w:eastAsia="en-US"/>
                </w:rPr>
                <w:t>listed as a critical worker</w:t>
              </w:r>
            </w:hyperlink>
            <w:r w:rsidRPr="0000628E">
              <w:rPr>
                <w:rFonts w:asciiTheme="minorHAnsi" w:hAnsiTheme="minorHAnsi" w:cstheme="minorHAnsi"/>
              </w:rPr>
              <w:t xml:space="preserve"> are eligible for a school place. It is not necessary for both parents to be critical workers.</w:t>
            </w:r>
          </w:p>
          <w:p w14:paraId="01DCF537" w14:textId="77777777" w:rsidR="00B703FB" w:rsidRPr="0000628E" w:rsidRDefault="00B703FB" w:rsidP="00122CBC">
            <w:pPr>
              <w:pStyle w:val="NormalWeb"/>
              <w:numPr>
                <w:ilvl w:val="0"/>
                <w:numId w:val="2"/>
              </w:numPr>
              <w:spacing w:before="0" w:beforeAutospacing="0" w:after="0" w:afterAutospacing="0"/>
              <w:rPr>
                <w:rFonts w:asciiTheme="minorHAnsi" w:hAnsiTheme="minorHAnsi" w:cstheme="minorHAnsi"/>
              </w:rPr>
            </w:pPr>
            <w:r w:rsidRPr="0000628E">
              <w:rPr>
                <w:rFonts w:asciiTheme="minorHAnsi" w:hAnsiTheme="minorHAnsi" w:cstheme="minorHAnsi"/>
              </w:rPr>
              <w:t>Schools and colleges should speak to parents and carers to identify who requires a school place. You can ask for simple evidence that the parent in question is a critical worker, such as their work ID badge or pay slip.</w:t>
            </w:r>
          </w:p>
          <w:p w14:paraId="14B7DE01" w14:textId="6BEA6067" w:rsidR="00B703FB" w:rsidRPr="0000628E" w:rsidRDefault="00B703FB" w:rsidP="00122CBC">
            <w:pPr>
              <w:pStyle w:val="NormalWeb"/>
              <w:numPr>
                <w:ilvl w:val="0"/>
                <w:numId w:val="2"/>
              </w:numPr>
              <w:spacing w:before="0" w:beforeAutospacing="0" w:after="0" w:afterAutospacing="0"/>
              <w:rPr>
                <w:rFonts w:asciiTheme="minorHAnsi" w:hAnsiTheme="minorHAnsi" w:cstheme="minorHAnsi"/>
              </w:rPr>
            </w:pPr>
            <w:r w:rsidRPr="0000628E">
              <w:rPr>
                <w:rFonts w:asciiTheme="minorHAnsi" w:hAnsiTheme="minorHAnsi" w:cstheme="minorHAnsi"/>
              </w:rPr>
              <w:t xml:space="preserve">The critical worker list has been updated to include new workforces whose work is critical following the end of the EU transition period. </w:t>
            </w:r>
          </w:p>
          <w:p w14:paraId="048DE512" w14:textId="77777777" w:rsidR="00B703FB" w:rsidRPr="0000628E" w:rsidRDefault="00B703FB" w:rsidP="00CF1434">
            <w:pPr>
              <w:pStyle w:val="ListParagraph"/>
              <w:numPr>
                <w:ilvl w:val="0"/>
                <w:numId w:val="2"/>
              </w:numPr>
              <w:rPr>
                <w:rFonts w:cstheme="minorHAnsi"/>
                <w:sz w:val="22"/>
              </w:rPr>
            </w:pPr>
            <w:r w:rsidRPr="0000628E">
              <w:rPr>
                <w:rFonts w:cstheme="minorHAnsi"/>
                <w:sz w:val="22"/>
                <w:lang w:eastAsia="en-GB"/>
              </w:rPr>
              <w:t xml:space="preserve">Every school will have a different number of children of critical workers who need to attend. It is important that on-site provision is provided for these pupils, and there is no limit to numbers of these pupils who may </w:t>
            </w:r>
            <w:proofErr w:type="gramStart"/>
            <w:r w:rsidRPr="0000628E">
              <w:rPr>
                <w:rFonts w:cstheme="minorHAnsi"/>
                <w:sz w:val="22"/>
                <w:lang w:eastAsia="en-GB"/>
              </w:rPr>
              <w:t>attend</w:t>
            </w:r>
            <w:proofErr w:type="gramEnd"/>
            <w:r w:rsidRPr="0000628E">
              <w:rPr>
                <w:rFonts w:cstheme="minorHAnsi"/>
                <w:sz w:val="22"/>
                <w:lang w:eastAsia="en-GB"/>
              </w:rPr>
              <w:t xml:space="preserve"> and schools should not limit attendance of these groups. This is because we are reducing overall social contact across areas and the country rather than individually by each institution.</w:t>
            </w:r>
          </w:p>
          <w:p w14:paraId="7D767696" w14:textId="6DB2EF29" w:rsidR="00BC358C" w:rsidRPr="0000628E" w:rsidRDefault="00BC358C" w:rsidP="00BC358C">
            <w:pPr>
              <w:pStyle w:val="ListParagraph"/>
              <w:ind w:left="360"/>
              <w:rPr>
                <w:rFonts w:cstheme="minorHAnsi"/>
                <w:sz w:val="22"/>
              </w:rPr>
            </w:pPr>
          </w:p>
        </w:tc>
      </w:tr>
      <w:tr w:rsidR="00073520" w:rsidRPr="00BC358C" w14:paraId="5718A4E0" w14:textId="77777777" w:rsidTr="00345E5D">
        <w:tc>
          <w:tcPr>
            <w:tcW w:w="1604" w:type="dxa"/>
            <w:gridSpan w:val="2"/>
            <w:shd w:val="clear" w:color="auto" w:fill="C6D9F1" w:themeFill="text2" w:themeFillTint="33"/>
          </w:tcPr>
          <w:p w14:paraId="50226931" w14:textId="77777777" w:rsidR="00073520" w:rsidRPr="00BC358C" w:rsidRDefault="00073520" w:rsidP="00BA47E0">
            <w:pPr>
              <w:rPr>
                <w:rFonts w:cstheme="minorHAnsi"/>
                <w:b/>
                <w:bCs/>
                <w:sz w:val="22"/>
              </w:rPr>
            </w:pPr>
            <w:r w:rsidRPr="00BC358C">
              <w:rPr>
                <w:rFonts w:cstheme="minorHAnsi"/>
                <w:b/>
                <w:bCs/>
                <w:sz w:val="22"/>
              </w:rPr>
              <w:t>Early Years</w:t>
            </w:r>
          </w:p>
        </w:tc>
        <w:tc>
          <w:tcPr>
            <w:tcW w:w="12708" w:type="dxa"/>
          </w:tcPr>
          <w:p w14:paraId="69C4E53A" w14:textId="64770A17" w:rsidR="001F4698" w:rsidRPr="001F4698" w:rsidRDefault="001F4698" w:rsidP="00BA47E0">
            <w:pPr>
              <w:pStyle w:val="NormalWeb"/>
              <w:numPr>
                <w:ilvl w:val="0"/>
                <w:numId w:val="1"/>
              </w:numPr>
              <w:spacing w:before="0" w:beforeAutospacing="0" w:after="0" w:afterAutospacing="0"/>
              <w:rPr>
                <w:rFonts w:asciiTheme="minorHAnsi" w:hAnsiTheme="minorHAnsi" w:cstheme="minorHAnsi"/>
                <w:color w:val="1D70B8"/>
                <w:u w:val="single"/>
              </w:rPr>
            </w:pPr>
            <w:r>
              <w:t xml:space="preserve">Early years settings (including nurseries and childminders) remain open </w:t>
            </w:r>
          </w:p>
          <w:p w14:paraId="12ACACDB" w14:textId="3A1F2BBA" w:rsidR="001F4698" w:rsidRPr="001F4698" w:rsidRDefault="001F4698" w:rsidP="00BA47E0">
            <w:pPr>
              <w:pStyle w:val="NormalWeb"/>
              <w:numPr>
                <w:ilvl w:val="0"/>
                <w:numId w:val="1"/>
              </w:numPr>
              <w:spacing w:before="0" w:beforeAutospacing="0" w:after="0" w:afterAutospacing="0"/>
              <w:rPr>
                <w:rFonts w:asciiTheme="minorHAnsi" w:hAnsiTheme="minorHAnsi" w:cstheme="minorHAnsi"/>
                <w:color w:val="1D70B8"/>
                <w:u w:val="single"/>
              </w:rPr>
            </w:pPr>
            <w:r>
              <w:t xml:space="preserve">Childminders can continue to look after all early </w:t>
            </w:r>
            <w:proofErr w:type="gramStart"/>
            <w:r>
              <w:t>years</w:t>
            </w:r>
            <w:proofErr w:type="gramEnd"/>
            <w:r>
              <w:t xml:space="preserve"> children; and those school-age children (from reception onwards) who are vulnerable or children of critical workers together</w:t>
            </w:r>
          </w:p>
          <w:p w14:paraId="048E0313" w14:textId="77777777" w:rsidR="00073520" w:rsidRPr="00BC358C" w:rsidRDefault="00073520" w:rsidP="00481A84">
            <w:pPr>
              <w:pStyle w:val="NormalWeb"/>
              <w:spacing w:before="0" w:beforeAutospacing="0" w:after="0" w:afterAutospacing="0"/>
              <w:ind w:left="360"/>
              <w:rPr>
                <w:rFonts w:asciiTheme="minorHAnsi" w:hAnsiTheme="minorHAnsi" w:cstheme="minorHAnsi"/>
                <w:color w:val="0B0C0C"/>
              </w:rPr>
            </w:pPr>
          </w:p>
        </w:tc>
      </w:tr>
      <w:tr w:rsidR="00345E5D" w:rsidRPr="00BC358C" w14:paraId="49373630" w14:textId="77777777" w:rsidTr="00345E5D">
        <w:tc>
          <w:tcPr>
            <w:tcW w:w="1604" w:type="dxa"/>
            <w:gridSpan w:val="2"/>
            <w:shd w:val="clear" w:color="auto" w:fill="C6D9F1" w:themeFill="text2" w:themeFillTint="33"/>
          </w:tcPr>
          <w:p w14:paraId="6C4F4032" w14:textId="77777777" w:rsidR="00345E5D" w:rsidRPr="00BC358C" w:rsidRDefault="00345E5D" w:rsidP="00BA47E0">
            <w:pPr>
              <w:pStyle w:val="Heading2"/>
              <w:spacing w:before="0"/>
              <w:rPr>
                <w:rFonts w:asciiTheme="minorHAnsi" w:eastAsia="Times New Roman" w:hAnsiTheme="minorHAnsi" w:cstheme="minorHAnsi"/>
                <w:b/>
                <w:bCs/>
                <w:color w:val="0B0C0C"/>
                <w:sz w:val="22"/>
                <w:szCs w:val="22"/>
              </w:rPr>
            </w:pPr>
            <w:r w:rsidRPr="00BC358C">
              <w:rPr>
                <w:rFonts w:asciiTheme="minorHAnsi" w:eastAsiaTheme="minorHAnsi" w:hAnsiTheme="minorHAnsi" w:cstheme="minorHAnsi"/>
                <w:b/>
                <w:bCs/>
                <w:color w:val="0B0C0C"/>
                <w:sz w:val="22"/>
                <w:szCs w:val="22"/>
              </w:rPr>
              <w:lastRenderedPageBreak/>
              <w:t>Educational settings status form</w:t>
            </w:r>
          </w:p>
        </w:tc>
        <w:tc>
          <w:tcPr>
            <w:tcW w:w="12708" w:type="dxa"/>
          </w:tcPr>
          <w:p w14:paraId="375EBFF1" w14:textId="77777777" w:rsidR="00345E5D" w:rsidRPr="0000628E" w:rsidRDefault="00345E5D" w:rsidP="00BA47E0">
            <w:pPr>
              <w:pStyle w:val="NormalWeb"/>
              <w:numPr>
                <w:ilvl w:val="0"/>
                <w:numId w:val="6"/>
              </w:numPr>
              <w:spacing w:before="0" w:beforeAutospacing="0" w:after="0" w:afterAutospacing="0"/>
              <w:rPr>
                <w:rFonts w:asciiTheme="minorHAnsi" w:hAnsiTheme="minorHAnsi" w:cstheme="minorHAnsi"/>
              </w:rPr>
            </w:pPr>
            <w:r w:rsidRPr="0000628E">
              <w:rPr>
                <w:rFonts w:asciiTheme="minorHAnsi" w:hAnsiTheme="minorHAnsi" w:cstheme="minorHAnsi"/>
              </w:rPr>
              <w:t>Schools and colleges do not need to complete the educational setting status form.</w:t>
            </w:r>
          </w:p>
          <w:p w14:paraId="48F64B1B" w14:textId="77777777" w:rsidR="00345E5D" w:rsidRPr="0000628E" w:rsidRDefault="00345E5D" w:rsidP="00BA47E0">
            <w:pPr>
              <w:pStyle w:val="NormalWeb"/>
              <w:numPr>
                <w:ilvl w:val="0"/>
                <w:numId w:val="6"/>
              </w:numPr>
              <w:spacing w:before="0" w:beforeAutospacing="0" w:after="0" w:afterAutospacing="0"/>
              <w:rPr>
                <w:rFonts w:asciiTheme="minorHAnsi" w:hAnsiTheme="minorHAnsi" w:cstheme="minorHAnsi"/>
              </w:rPr>
            </w:pPr>
            <w:r w:rsidRPr="0000628E">
              <w:rPr>
                <w:rFonts w:asciiTheme="minorHAnsi" w:hAnsiTheme="minorHAnsi" w:cstheme="minorHAnsi"/>
              </w:rPr>
              <w:t xml:space="preserve">We are updating the educational setting status form to reflect the new position. </w:t>
            </w:r>
          </w:p>
          <w:p w14:paraId="2BAC1A62" w14:textId="77777777" w:rsidR="00345E5D" w:rsidRPr="0000628E" w:rsidRDefault="00345E5D" w:rsidP="00BA47E0">
            <w:pPr>
              <w:pStyle w:val="NormalWeb"/>
              <w:numPr>
                <w:ilvl w:val="0"/>
                <w:numId w:val="6"/>
              </w:numPr>
              <w:spacing w:before="0" w:beforeAutospacing="0" w:after="0" w:afterAutospacing="0"/>
              <w:rPr>
                <w:rFonts w:asciiTheme="minorHAnsi" w:hAnsiTheme="minorHAnsi" w:cstheme="minorHAnsi"/>
              </w:rPr>
            </w:pPr>
            <w:r w:rsidRPr="0000628E">
              <w:rPr>
                <w:rFonts w:asciiTheme="minorHAnsi" w:hAnsiTheme="minorHAnsi" w:cstheme="minorHAnsi"/>
              </w:rPr>
              <w:t>We will provide a further update shortly on when schools and colleges should resume completing this form.</w:t>
            </w:r>
          </w:p>
          <w:p w14:paraId="047CF7B3" w14:textId="77777777" w:rsidR="00345E5D" w:rsidRPr="00BC358C" w:rsidRDefault="00345E5D" w:rsidP="00BA47E0">
            <w:pPr>
              <w:pStyle w:val="NormalWeb"/>
              <w:spacing w:before="0" w:beforeAutospacing="0" w:after="0" w:afterAutospacing="0"/>
              <w:ind w:left="360"/>
              <w:rPr>
                <w:rFonts w:asciiTheme="minorHAnsi" w:hAnsiTheme="minorHAnsi" w:cstheme="minorHAnsi"/>
                <w:color w:val="0B0C0C"/>
              </w:rPr>
            </w:pPr>
          </w:p>
        </w:tc>
      </w:tr>
      <w:tr w:rsidR="00D67E56" w:rsidRPr="00CF1434" w14:paraId="65E65698" w14:textId="77777777" w:rsidTr="00345E5D">
        <w:tc>
          <w:tcPr>
            <w:tcW w:w="1604" w:type="dxa"/>
            <w:gridSpan w:val="2"/>
            <w:shd w:val="clear" w:color="auto" w:fill="CCC0D9" w:themeFill="accent4" w:themeFillTint="66"/>
          </w:tcPr>
          <w:p w14:paraId="22B8497C" w14:textId="77777777" w:rsidR="00D67E56" w:rsidRPr="00B703FB" w:rsidRDefault="00D67E56" w:rsidP="00BC2E97">
            <w:pPr>
              <w:rPr>
                <w:rFonts w:cstheme="minorHAnsi"/>
                <w:b/>
                <w:bCs/>
                <w:sz w:val="22"/>
              </w:rPr>
            </w:pPr>
            <w:r w:rsidRPr="00B703FB">
              <w:rPr>
                <w:rFonts w:cstheme="minorHAnsi"/>
                <w:b/>
                <w:bCs/>
                <w:sz w:val="22"/>
              </w:rPr>
              <w:t>Vulnerable children and young people</w:t>
            </w:r>
          </w:p>
        </w:tc>
        <w:tc>
          <w:tcPr>
            <w:tcW w:w="12708" w:type="dxa"/>
          </w:tcPr>
          <w:p w14:paraId="12E7DB3D" w14:textId="70190373" w:rsidR="00D67E56" w:rsidRPr="00B703FB" w:rsidRDefault="00D67E56" w:rsidP="00BC2E97">
            <w:pPr>
              <w:rPr>
                <w:sz w:val="22"/>
              </w:rPr>
            </w:pPr>
            <w:r w:rsidRPr="00B703FB">
              <w:rPr>
                <w:sz w:val="22"/>
              </w:rPr>
              <w:t>If vulnerable children and young people do not attend, schools should work together with the local authority and social worker (where applicable) to</w:t>
            </w:r>
            <w:r w:rsidR="00345E5D">
              <w:rPr>
                <w:sz w:val="22"/>
              </w:rPr>
              <w:t>:</w:t>
            </w:r>
          </w:p>
          <w:p w14:paraId="63D267AF" w14:textId="77777777" w:rsidR="00D67E56" w:rsidRPr="00B703FB" w:rsidRDefault="00D67E56" w:rsidP="00BC2E97">
            <w:pPr>
              <w:pStyle w:val="ListParagraph"/>
              <w:numPr>
                <w:ilvl w:val="0"/>
                <w:numId w:val="12"/>
              </w:numPr>
              <w:rPr>
                <w:sz w:val="22"/>
              </w:rPr>
            </w:pPr>
            <w:r w:rsidRPr="00B703FB">
              <w:rPr>
                <w:sz w:val="22"/>
              </w:rPr>
              <w:t xml:space="preserve">follow up with the parent or carer to explore the reason for absence, discussing their concerns using supporting guidance considering the child’s circumstances and their best interests </w:t>
            </w:r>
          </w:p>
          <w:p w14:paraId="19E08B14" w14:textId="02E5A9F3" w:rsidR="00D67E56" w:rsidRPr="00345E5D" w:rsidRDefault="00D67E56" w:rsidP="00BC2E97">
            <w:pPr>
              <w:pStyle w:val="ListParagraph"/>
              <w:numPr>
                <w:ilvl w:val="0"/>
                <w:numId w:val="11"/>
              </w:numPr>
              <w:rPr>
                <w:rFonts w:cstheme="minorHAnsi"/>
                <w:sz w:val="22"/>
              </w:rPr>
            </w:pPr>
            <w:r w:rsidRPr="00B703FB">
              <w:rPr>
                <w:sz w:val="22"/>
              </w:rPr>
              <w:t>(and other relevant partners) to encourage the child or young person to attend educational provision, particularly where the social worker agrees that the child or young person’s attendance would be appropriate</w:t>
            </w:r>
            <w:r w:rsidR="00345E5D">
              <w:rPr>
                <w:sz w:val="22"/>
              </w:rPr>
              <w:t>.</w:t>
            </w:r>
          </w:p>
          <w:p w14:paraId="3FB58C0B" w14:textId="77777777" w:rsidR="00345E5D" w:rsidRPr="0073123A" w:rsidRDefault="00345E5D" w:rsidP="00345E5D">
            <w:pPr>
              <w:pStyle w:val="ListParagraph"/>
              <w:rPr>
                <w:rFonts w:cstheme="minorHAnsi"/>
                <w:sz w:val="22"/>
              </w:rPr>
            </w:pPr>
          </w:p>
          <w:p w14:paraId="13FDF7A0" w14:textId="35767836" w:rsidR="00D67E56" w:rsidRDefault="00D67E56" w:rsidP="00BC2E97">
            <w:pPr>
              <w:rPr>
                <w:sz w:val="22"/>
              </w:rPr>
            </w:pPr>
            <w:r w:rsidRPr="00B703FB">
              <w:rPr>
                <w:sz w:val="22"/>
              </w:rPr>
              <w:t>Schools are encouraged to work collaboratively with other schools and education providers and other local partners to maximise opportunities for face-to face provision for vulnerable children.</w:t>
            </w:r>
          </w:p>
          <w:p w14:paraId="1CEE80B1" w14:textId="04CBCE50" w:rsidR="00923208" w:rsidRDefault="00923208" w:rsidP="00BC2E97">
            <w:pPr>
              <w:rPr>
                <w:sz w:val="22"/>
              </w:rPr>
            </w:pPr>
          </w:p>
          <w:p w14:paraId="653FEE4A" w14:textId="630F3F7D" w:rsidR="00D67E56" w:rsidRPr="00481A84" w:rsidRDefault="00481A84" w:rsidP="00481A84">
            <w:pPr>
              <w:rPr>
                <w:rStyle w:val="Hyperlink"/>
                <w:sz w:val="22"/>
              </w:rPr>
            </w:pPr>
            <w:r>
              <w:rPr>
                <w:rStyle w:val="Hyperlink"/>
                <w:sz w:val="22"/>
              </w:rPr>
              <w:fldChar w:fldCharType="begin"/>
            </w:r>
            <w:r>
              <w:rPr>
                <w:rStyle w:val="Hyperlink"/>
                <w:sz w:val="22"/>
              </w:rPr>
              <w:instrText xml:space="preserve"> HYPERLINK "https://www.gov.uk/government/publications/coronavirus-covid-19-maintaining-educational-provision/guidance-for-schools-colleges-and-local-authorities-on-maintaining-educational-provision" \l "vulnerable-children-and-young-people" </w:instrText>
            </w:r>
            <w:r>
              <w:rPr>
                <w:rStyle w:val="Hyperlink"/>
                <w:sz w:val="22"/>
              </w:rPr>
              <w:fldChar w:fldCharType="separate"/>
            </w:r>
            <w:r w:rsidRPr="00923208">
              <w:rPr>
                <w:rStyle w:val="Hyperlink"/>
                <w:sz w:val="22"/>
              </w:rPr>
              <w:t>Children of critical workers and vulnerable children who can access schools or educational settings</w:t>
            </w:r>
          </w:p>
          <w:p w14:paraId="111175F1" w14:textId="1B4A274F" w:rsidR="00481A84" w:rsidRPr="00B703FB" w:rsidRDefault="00481A84" w:rsidP="00481A84">
            <w:pPr>
              <w:rPr>
                <w:rFonts w:cstheme="minorHAnsi"/>
                <w:sz w:val="22"/>
              </w:rPr>
            </w:pPr>
            <w:r>
              <w:rPr>
                <w:rStyle w:val="Hyperlink"/>
                <w:sz w:val="22"/>
              </w:rPr>
              <w:fldChar w:fldCharType="end"/>
            </w:r>
          </w:p>
        </w:tc>
      </w:tr>
      <w:tr w:rsidR="00923208" w:rsidRPr="00B703FB" w14:paraId="1090E778" w14:textId="77777777" w:rsidTr="00345E5D">
        <w:tc>
          <w:tcPr>
            <w:tcW w:w="1604" w:type="dxa"/>
            <w:gridSpan w:val="2"/>
            <w:shd w:val="clear" w:color="auto" w:fill="CCC0D9" w:themeFill="accent4" w:themeFillTint="66"/>
          </w:tcPr>
          <w:p w14:paraId="575F9EB8" w14:textId="77E69CEE" w:rsidR="00923208" w:rsidRPr="00B703FB" w:rsidRDefault="00923208" w:rsidP="00BA47E0">
            <w:pPr>
              <w:rPr>
                <w:rFonts w:cstheme="minorHAnsi"/>
                <w:b/>
                <w:bCs/>
                <w:sz w:val="22"/>
              </w:rPr>
            </w:pPr>
            <w:r>
              <w:rPr>
                <w:rFonts w:cstheme="minorHAnsi"/>
                <w:b/>
                <w:bCs/>
                <w:sz w:val="22"/>
              </w:rPr>
              <w:t>Critical Workers</w:t>
            </w:r>
          </w:p>
        </w:tc>
        <w:tc>
          <w:tcPr>
            <w:tcW w:w="12708" w:type="dxa"/>
          </w:tcPr>
          <w:p w14:paraId="7604F0AE" w14:textId="4A6F568A" w:rsidR="00923208" w:rsidRDefault="00923208" w:rsidP="00923208">
            <w:pPr>
              <w:pStyle w:val="NormalWeb"/>
              <w:spacing w:before="0" w:beforeAutospacing="0" w:after="0" w:afterAutospacing="0"/>
              <w:rPr>
                <w:rFonts w:asciiTheme="minorHAnsi" w:hAnsiTheme="minorHAnsi" w:cstheme="minorHAnsi"/>
                <w:color w:val="0B0C0C"/>
              </w:rPr>
            </w:pPr>
            <w:r w:rsidRPr="00923208">
              <w:rPr>
                <w:rFonts w:asciiTheme="minorHAnsi" w:hAnsiTheme="minorHAnsi" w:cstheme="minorHAnsi"/>
                <w:color w:val="0B0C0C"/>
              </w:rPr>
              <w:t>Schools should speak to parents and carers to identify who needs to go to school. If it proves necessary, schools can ask for simple evidence that the parent in question is a critical worker, such as their work ID badge or pay slip. Parents and carers who are critical workers should keep their children at home if they can.</w:t>
            </w:r>
          </w:p>
          <w:p w14:paraId="2C57D5DC" w14:textId="77777777" w:rsidR="00923208" w:rsidRPr="00923208" w:rsidRDefault="00923208" w:rsidP="00923208">
            <w:pPr>
              <w:pStyle w:val="NormalWeb"/>
              <w:spacing w:before="0" w:beforeAutospacing="0" w:after="0" w:afterAutospacing="0"/>
            </w:pPr>
          </w:p>
          <w:p w14:paraId="59FC0C73" w14:textId="67C08299" w:rsidR="00923208" w:rsidRDefault="00923208" w:rsidP="00923208">
            <w:pPr>
              <w:pStyle w:val="NormalWeb"/>
              <w:spacing w:before="0" w:beforeAutospacing="0" w:after="0" w:afterAutospacing="0"/>
            </w:pPr>
            <w:r>
              <w:t xml:space="preserve">It is important that on-site provision is provided for these pupils, and there is no limit to numbers of these pupils who may </w:t>
            </w:r>
            <w:proofErr w:type="gramStart"/>
            <w:r>
              <w:t>attend</w:t>
            </w:r>
            <w:proofErr w:type="gramEnd"/>
            <w:r>
              <w:t xml:space="preserve"> and schools should not limit attendance of these groups.</w:t>
            </w:r>
          </w:p>
          <w:p w14:paraId="5F5F229D" w14:textId="5FBFC49D" w:rsidR="00923208" w:rsidRDefault="00923208" w:rsidP="00923208">
            <w:pPr>
              <w:pStyle w:val="NormalWeb"/>
              <w:spacing w:before="0" w:beforeAutospacing="0" w:after="0" w:afterAutospacing="0"/>
            </w:pPr>
          </w:p>
          <w:p w14:paraId="625BDCE3" w14:textId="4B2FB093" w:rsidR="00923208" w:rsidRPr="00923208" w:rsidRDefault="00481A84" w:rsidP="00923208">
            <w:pPr>
              <w:textAlignment w:val="baseline"/>
              <w:outlineLvl w:val="0"/>
              <w:rPr>
                <w:rStyle w:val="Hyperlink"/>
                <w:sz w:val="22"/>
              </w:rPr>
            </w:pPr>
            <w:r>
              <w:rPr>
                <w:rStyle w:val="Hyperlink"/>
                <w:sz w:val="22"/>
              </w:rPr>
              <w:fldChar w:fldCharType="begin"/>
            </w:r>
            <w:r>
              <w:rPr>
                <w:rStyle w:val="Hyperlink"/>
                <w:sz w:val="22"/>
              </w:rPr>
              <w:instrText xml:space="preserve"> HYPERLINK "https://www.gov.uk/government/publications/coronavirus-covid-19-maintaining-educational-provision/guidance-for-schools-colleges-and-local-authorities-on-maintaining-educational-provision" </w:instrText>
            </w:r>
            <w:r>
              <w:rPr>
                <w:rStyle w:val="Hyperlink"/>
                <w:sz w:val="22"/>
              </w:rPr>
              <w:fldChar w:fldCharType="separate"/>
            </w:r>
            <w:r w:rsidR="00923208" w:rsidRPr="00923208">
              <w:rPr>
                <w:rStyle w:val="Hyperlink"/>
                <w:sz w:val="22"/>
              </w:rPr>
              <w:t>Children of critical workers and vulnerable children who can access schools or educational settings</w:t>
            </w:r>
          </w:p>
          <w:p w14:paraId="0A58ED36" w14:textId="7F95CBEB" w:rsidR="00923208" w:rsidRPr="00923208" w:rsidRDefault="00481A84" w:rsidP="00923208">
            <w:pPr>
              <w:pStyle w:val="NormalWeb"/>
              <w:spacing w:before="0" w:beforeAutospacing="0" w:after="0" w:afterAutospacing="0"/>
            </w:pPr>
            <w:r>
              <w:rPr>
                <w:rStyle w:val="Hyperlink"/>
                <w:rFonts w:asciiTheme="minorHAnsi" w:hAnsiTheme="minorHAnsi" w:cstheme="minorBidi"/>
                <w:lang w:eastAsia="en-US"/>
              </w:rPr>
              <w:fldChar w:fldCharType="end"/>
            </w:r>
          </w:p>
        </w:tc>
      </w:tr>
      <w:tr w:rsidR="00345E5D" w:rsidRPr="00B703FB" w14:paraId="6DAE38C7" w14:textId="77777777" w:rsidTr="00345E5D">
        <w:tc>
          <w:tcPr>
            <w:tcW w:w="1604" w:type="dxa"/>
            <w:gridSpan w:val="2"/>
            <w:shd w:val="clear" w:color="auto" w:fill="CCC0D9" w:themeFill="accent4" w:themeFillTint="66"/>
          </w:tcPr>
          <w:p w14:paraId="0E1CFF0C" w14:textId="77777777" w:rsidR="00345E5D" w:rsidRPr="00B703FB" w:rsidRDefault="00345E5D" w:rsidP="00BA47E0">
            <w:pPr>
              <w:rPr>
                <w:rFonts w:cstheme="minorHAnsi"/>
                <w:b/>
                <w:bCs/>
                <w:sz w:val="22"/>
              </w:rPr>
            </w:pPr>
            <w:r w:rsidRPr="00B703FB">
              <w:rPr>
                <w:rFonts w:cstheme="minorHAnsi"/>
                <w:b/>
                <w:bCs/>
                <w:sz w:val="22"/>
              </w:rPr>
              <w:t>Opening Hours</w:t>
            </w:r>
            <w:r>
              <w:rPr>
                <w:rFonts w:cstheme="minorHAnsi"/>
                <w:b/>
                <w:bCs/>
                <w:sz w:val="22"/>
              </w:rPr>
              <w:t xml:space="preserve"> &amp; Wraparound</w:t>
            </w:r>
          </w:p>
        </w:tc>
        <w:tc>
          <w:tcPr>
            <w:tcW w:w="12708" w:type="dxa"/>
          </w:tcPr>
          <w:p w14:paraId="09711CFF" w14:textId="77777777" w:rsidR="00345E5D" w:rsidRDefault="00345E5D" w:rsidP="00BA47E0">
            <w:pPr>
              <w:rPr>
                <w:sz w:val="22"/>
              </w:rPr>
            </w:pPr>
            <w:r w:rsidRPr="00B703FB">
              <w:rPr>
                <w:sz w:val="22"/>
              </w:rPr>
              <w:t>We expect schools to operate for their normal hours. Where possible, we would encourage breakfast club and after school provision, to help support the children of critical workers</w:t>
            </w:r>
            <w:r>
              <w:rPr>
                <w:sz w:val="22"/>
              </w:rPr>
              <w:t>.</w:t>
            </w:r>
          </w:p>
          <w:p w14:paraId="53720780" w14:textId="77777777" w:rsidR="00345E5D" w:rsidRDefault="00345E5D" w:rsidP="00BA47E0">
            <w:pPr>
              <w:rPr>
                <w:sz w:val="22"/>
              </w:rPr>
            </w:pPr>
          </w:p>
          <w:p w14:paraId="5896A16D" w14:textId="5BAB3E64" w:rsidR="00345E5D" w:rsidRPr="00B703FB" w:rsidRDefault="00345E5D" w:rsidP="00BA47E0">
            <w:pPr>
              <w:rPr>
                <w:sz w:val="22"/>
              </w:rPr>
            </w:pPr>
            <w:r w:rsidRPr="00B703FB">
              <w:rPr>
                <w:sz w:val="22"/>
              </w:rPr>
              <w:t>Schools should also work closely with any external wraparound providers which these pupils may use, to ensure as far as possible, children can be kept in a group with other children from the same bubble they are in during the school day. If not practical,</w:t>
            </w:r>
            <w:r>
              <w:rPr>
                <w:sz w:val="22"/>
              </w:rPr>
              <w:t xml:space="preserve"> it</w:t>
            </w:r>
            <w:r w:rsidRPr="00B703FB">
              <w:rPr>
                <w:sz w:val="22"/>
              </w:rPr>
              <w:t xml:space="preserve"> may </w:t>
            </w:r>
            <w:proofErr w:type="gramStart"/>
            <w:r w:rsidRPr="00B703FB">
              <w:rPr>
                <w:sz w:val="22"/>
              </w:rPr>
              <w:t>need</w:t>
            </w:r>
            <w:r w:rsidR="00481A84">
              <w:rPr>
                <w:sz w:val="22"/>
              </w:rPr>
              <w:t>ed</w:t>
            </w:r>
            <w:proofErr w:type="gramEnd"/>
            <w:r w:rsidRPr="00B703FB">
              <w:rPr>
                <w:sz w:val="22"/>
              </w:rPr>
              <w:t xml:space="preserve"> to group children with others from outside their school day bubble or from a different school, where children from multiple schools are attending provision. If so:</w:t>
            </w:r>
          </w:p>
          <w:p w14:paraId="25BBA9F7" w14:textId="77777777" w:rsidR="00345E5D" w:rsidRPr="00B703FB" w:rsidRDefault="00345E5D" w:rsidP="00BA47E0">
            <w:pPr>
              <w:pStyle w:val="ListParagraph"/>
              <w:numPr>
                <w:ilvl w:val="0"/>
                <w:numId w:val="13"/>
              </w:numPr>
              <w:rPr>
                <w:sz w:val="22"/>
              </w:rPr>
            </w:pPr>
            <w:r w:rsidRPr="00B703FB">
              <w:rPr>
                <w:sz w:val="22"/>
              </w:rPr>
              <w:t xml:space="preserve">seek to keep children in small, consistent groups with the same children each time, as far as this is possible. </w:t>
            </w:r>
          </w:p>
          <w:p w14:paraId="2B743AA1" w14:textId="77777777" w:rsidR="00345E5D" w:rsidRPr="00B703FB" w:rsidRDefault="00345E5D" w:rsidP="00BA47E0">
            <w:pPr>
              <w:pStyle w:val="ListParagraph"/>
              <w:numPr>
                <w:ilvl w:val="0"/>
                <w:numId w:val="13"/>
              </w:numPr>
              <w:rPr>
                <w:sz w:val="22"/>
              </w:rPr>
            </w:pPr>
            <w:r w:rsidRPr="00B703FB">
              <w:rPr>
                <w:sz w:val="22"/>
              </w:rPr>
              <w:t xml:space="preserve">one staff member </w:t>
            </w:r>
            <w:r>
              <w:rPr>
                <w:sz w:val="22"/>
              </w:rPr>
              <w:t>can</w:t>
            </w:r>
            <w:r w:rsidRPr="00B703FB">
              <w:rPr>
                <w:sz w:val="22"/>
              </w:rPr>
              <w:t xml:space="preserve"> supervise up to two small groups, provided that any relevant ratio requirements are met</w:t>
            </w:r>
          </w:p>
          <w:p w14:paraId="24F9FA6C" w14:textId="77777777" w:rsidR="00345E5D" w:rsidRPr="00B703FB" w:rsidRDefault="00345E5D" w:rsidP="00BA47E0">
            <w:pPr>
              <w:rPr>
                <w:sz w:val="22"/>
              </w:rPr>
            </w:pPr>
          </w:p>
          <w:p w14:paraId="2508C319" w14:textId="77777777" w:rsidR="00345E5D" w:rsidRDefault="00345E5D" w:rsidP="00BA47E0">
            <w:pPr>
              <w:rPr>
                <w:sz w:val="22"/>
              </w:rPr>
            </w:pPr>
            <w:r w:rsidRPr="00B703FB">
              <w:rPr>
                <w:sz w:val="22"/>
              </w:rPr>
              <w:t xml:space="preserve">Schools may also continue to </w:t>
            </w:r>
            <w:proofErr w:type="gramStart"/>
            <w:r w:rsidRPr="00B703FB">
              <w:rPr>
                <w:sz w:val="22"/>
              </w:rPr>
              <w:t>open up</w:t>
            </w:r>
            <w:proofErr w:type="gramEnd"/>
            <w:r w:rsidRPr="00B703FB">
              <w:rPr>
                <w:sz w:val="22"/>
              </w:rPr>
              <w:t xml:space="preserve"> or hire out their premises for use by external wraparound childcare providers</w:t>
            </w:r>
            <w:r>
              <w:rPr>
                <w:sz w:val="22"/>
              </w:rPr>
              <w:t xml:space="preserve"> </w:t>
            </w:r>
            <w:r w:rsidRPr="00B703FB">
              <w:rPr>
                <w:sz w:val="22"/>
              </w:rPr>
              <w:t>that offer provision to children of critical workers and/ or vulnerable children.</w:t>
            </w:r>
          </w:p>
          <w:p w14:paraId="5C3162F5" w14:textId="77777777" w:rsidR="00345E5D" w:rsidRPr="00B703FB" w:rsidRDefault="00345E5D" w:rsidP="00BA47E0">
            <w:pPr>
              <w:rPr>
                <w:rFonts w:cstheme="minorHAnsi"/>
                <w:sz w:val="22"/>
              </w:rPr>
            </w:pPr>
          </w:p>
        </w:tc>
      </w:tr>
      <w:tr w:rsidR="004B3975" w:rsidRPr="00B703FB" w14:paraId="047268EA" w14:textId="77777777" w:rsidTr="00345E5D">
        <w:tc>
          <w:tcPr>
            <w:tcW w:w="1604" w:type="dxa"/>
            <w:gridSpan w:val="2"/>
            <w:shd w:val="clear" w:color="auto" w:fill="CCC0D9" w:themeFill="accent4" w:themeFillTint="66"/>
          </w:tcPr>
          <w:p w14:paraId="1D5F9E60" w14:textId="1C6F4033" w:rsidR="004B3975" w:rsidRPr="00B703FB" w:rsidRDefault="004B3975" w:rsidP="00BA47E0">
            <w:pPr>
              <w:rPr>
                <w:rFonts w:cstheme="minorHAnsi"/>
                <w:b/>
                <w:bCs/>
                <w:sz w:val="22"/>
              </w:rPr>
            </w:pPr>
            <w:r>
              <w:rPr>
                <w:rFonts w:cstheme="minorHAnsi"/>
                <w:b/>
                <w:bCs/>
                <w:sz w:val="22"/>
              </w:rPr>
              <w:lastRenderedPageBreak/>
              <w:t>Early Years</w:t>
            </w:r>
          </w:p>
        </w:tc>
        <w:tc>
          <w:tcPr>
            <w:tcW w:w="12708" w:type="dxa"/>
          </w:tcPr>
          <w:p w14:paraId="4A5506E1" w14:textId="77777777" w:rsidR="004B3975" w:rsidRPr="004B3975" w:rsidRDefault="00A43C33" w:rsidP="00BA47E0">
            <w:pPr>
              <w:rPr>
                <w:rStyle w:val="Hyperlink"/>
                <w:sz w:val="22"/>
              </w:rPr>
            </w:pPr>
            <w:hyperlink r:id="rId12" w:history="1">
              <w:r w:rsidR="004B3975" w:rsidRPr="004B3975">
                <w:rPr>
                  <w:rStyle w:val="Hyperlink"/>
                  <w:sz w:val="22"/>
                </w:rPr>
                <w:t>Actions for early years and childcare providers during the coronavirus (COVID-19) outbreak</w:t>
              </w:r>
            </w:hyperlink>
          </w:p>
          <w:p w14:paraId="784B8677" w14:textId="1C3C249B" w:rsidR="004B3975" w:rsidRPr="004B3975" w:rsidRDefault="004B3975" w:rsidP="00BA47E0">
            <w:pPr>
              <w:rPr>
                <w:rStyle w:val="Hyperlink"/>
              </w:rPr>
            </w:pPr>
          </w:p>
        </w:tc>
      </w:tr>
      <w:tr w:rsidR="00345E5D" w:rsidRPr="00B703FB" w14:paraId="33F05412" w14:textId="77777777" w:rsidTr="00345E5D">
        <w:tc>
          <w:tcPr>
            <w:tcW w:w="1604" w:type="dxa"/>
            <w:gridSpan w:val="2"/>
            <w:shd w:val="clear" w:color="auto" w:fill="CCC0D9" w:themeFill="accent4" w:themeFillTint="66"/>
          </w:tcPr>
          <w:p w14:paraId="4FC51A16" w14:textId="50270B21" w:rsidR="00345E5D" w:rsidRPr="00B703FB" w:rsidRDefault="00345E5D" w:rsidP="00BA47E0">
            <w:pPr>
              <w:rPr>
                <w:rFonts w:cstheme="minorHAnsi"/>
                <w:b/>
                <w:bCs/>
                <w:sz w:val="22"/>
              </w:rPr>
            </w:pPr>
            <w:r w:rsidRPr="00B703FB">
              <w:rPr>
                <w:rFonts w:cstheme="minorHAnsi"/>
                <w:b/>
                <w:bCs/>
                <w:sz w:val="22"/>
              </w:rPr>
              <w:t xml:space="preserve">Risk </w:t>
            </w:r>
            <w:r w:rsidR="001B37FA">
              <w:rPr>
                <w:rFonts w:cstheme="minorHAnsi"/>
                <w:b/>
                <w:bCs/>
                <w:sz w:val="22"/>
              </w:rPr>
              <w:t>A</w:t>
            </w:r>
            <w:r w:rsidRPr="00B703FB">
              <w:rPr>
                <w:rFonts w:cstheme="minorHAnsi"/>
                <w:b/>
                <w:bCs/>
                <w:sz w:val="22"/>
              </w:rPr>
              <w:t>ssessments</w:t>
            </w:r>
          </w:p>
        </w:tc>
        <w:tc>
          <w:tcPr>
            <w:tcW w:w="12708" w:type="dxa"/>
          </w:tcPr>
          <w:p w14:paraId="57869821" w14:textId="1015F0EE" w:rsidR="00345E5D" w:rsidRDefault="00345E5D" w:rsidP="00BA47E0">
            <w:pPr>
              <w:rPr>
                <w:sz w:val="22"/>
              </w:rPr>
            </w:pPr>
            <w:r w:rsidRPr="00B703FB">
              <w:rPr>
                <w:sz w:val="22"/>
              </w:rPr>
              <w:t>Schools should thoroughly review their health and safety risk assessments and plans that address the risks identified using the system of controls. Treat as a ‘living document’</w:t>
            </w:r>
            <w:r w:rsidR="001F4698">
              <w:rPr>
                <w:sz w:val="22"/>
              </w:rPr>
              <w:t xml:space="preserve"> which is kept under review.</w:t>
            </w:r>
          </w:p>
          <w:p w14:paraId="61871788" w14:textId="77777777" w:rsidR="00345E5D" w:rsidRPr="001E6782" w:rsidRDefault="00345E5D" w:rsidP="00BA47E0">
            <w:pPr>
              <w:rPr>
                <w:sz w:val="12"/>
                <w:szCs w:val="12"/>
              </w:rPr>
            </w:pPr>
          </w:p>
          <w:p w14:paraId="169EABAD" w14:textId="1C9FD5D7" w:rsidR="00345E5D" w:rsidRPr="00481A84" w:rsidRDefault="00481A84" w:rsidP="00BA47E0">
            <w:pPr>
              <w:rPr>
                <w:rStyle w:val="Hyperlink"/>
              </w:rPr>
            </w:pPr>
            <w:r>
              <w:rPr>
                <w:sz w:val="22"/>
              </w:rPr>
              <w:fldChar w:fldCharType="begin"/>
            </w:r>
            <w:r>
              <w:rPr>
                <w:sz w:val="22"/>
              </w:rPr>
              <w:instrText xml:space="preserve"> HYPERLINK "https://assets.publishing.service.gov.uk/government/uploads/system/uploads/attachment_data/file/950510/School_national_restrictions_guidance.pdf" </w:instrText>
            </w:r>
            <w:r>
              <w:rPr>
                <w:sz w:val="22"/>
              </w:rPr>
              <w:fldChar w:fldCharType="separate"/>
            </w:r>
            <w:r w:rsidR="00345E5D" w:rsidRPr="00481A84">
              <w:rPr>
                <w:rStyle w:val="Hyperlink"/>
                <w:sz w:val="22"/>
              </w:rPr>
              <w:t>Review Annex: Health and safety risk assessment</w:t>
            </w:r>
          </w:p>
          <w:p w14:paraId="602CDB92" w14:textId="10D9C6DC" w:rsidR="00345E5D" w:rsidRPr="00B703FB" w:rsidRDefault="00481A84" w:rsidP="00BA47E0">
            <w:pPr>
              <w:rPr>
                <w:rFonts w:cstheme="minorHAnsi"/>
                <w:sz w:val="22"/>
              </w:rPr>
            </w:pPr>
            <w:r>
              <w:rPr>
                <w:sz w:val="22"/>
              </w:rPr>
              <w:fldChar w:fldCharType="end"/>
            </w:r>
          </w:p>
        </w:tc>
      </w:tr>
      <w:tr w:rsidR="005B548C" w:rsidRPr="00CF1434" w14:paraId="3C5B0CCC" w14:textId="77777777" w:rsidTr="00345E5D">
        <w:tc>
          <w:tcPr>
            <w:tcW w:w="1604" w:type="dxa"/>
            <w:gridSpan w:val="2"/>
            <w:shd w:val="clear" w:color="auto" w:fill="CCC0D9" w:themeFill="accent4" w:themeFillTint="66"/>
          </w:tcPr>
          <w:p w14:paraId="34C35E54" w14:textId="77777777" w:rsidR="005B548C" w:rsidRPr="00B703FB" w:rsidRDefault="005B548C" w:rsidP="00BC2E97">
            <w:pPr>
              <w:rPr>
                <w:rFonts w:cstheme="minorHAnsi"/>
                <w:b/>
                <w:bCs/>
                <w:sz w:val="22"/>
              </w:rPr>
            </w:pPr>
            <w:r w:rsidRPr="00B703FB">
              <w:rPr>
                <w:rFonts w:cstheme="minorHAnsi"/>
                <w:b/>
                <w:bCs/>
                <w:sz w:val="22"/>
              </w:rPr>
              <w:t>Rotas</w:t>
            </w:r>
          </w:p>
        </w:tc>
        <w:tc>
          <w:tcPr>
            <w:tcW w:w="12708" w:type="dxa"/>
          </w:tcPr>
          <w:p w14:paraId="7D477A19" w14:textId="77777777" w:rsidR="005B548C" w:rsidRDefault="005B548C" w:rsidP="00BC2E97">
            <w:pPr>
              <w:rPr>
                <w:sz w:val="22"/>
              </w:rPr>
            </w:pPr>
            <w:r w:rsidRPr="00B703FB">
              <w:rPr>
                <w:sz w:val="22"/>
              </w:rPr>
              <w:t>Schools should not plan for rotas or allow children other than those who are vulnerable or whose parent or carer is a critical worker to attend on-site, even if the school believes it can accommodate more children safely.</w:t>
            </w:r>
          </w:p>
          <w:p w14:paraId="06A328A6" w14:textId="7B90CE4E" w:rsidR="004B3975" w:rsidRPr="00B703FB" w:rsidRDefault="004B3975" w:rsidP="00BC2E97">
            <w:pPr>
              <w:rPr>
                <w:sz w:val="22"/>
              </w:rPr>
            </w:pPr>
          </w:p>
        </w:tc>
      </w:tr>
      <w:tr w:rsidR="00D67E56" w:rsidRPr="00CF1434" w14:paraId="38DD0BBE" w14:textId="77777777" w:rsidTr="00345E5D">
        <w:tc>
          <w:tcPr>
            <w:tcW w:w="1604" w:type="dxa"/>
            <w:gridSpan w:val="2"/>
            <w:shd w:val="clear" w:color="auto" w:fill="CCC0D9" w:themeFill="accent4" w:themeFillTint="66"/>
          </w:tcPr>
          <w:p w14:paraId="61148344" w14:textId="77777777" w:rsidR="00D67E56" w:rsidRPr="00B703FB" w:rsidRDefault="00D67E56" w:rsidP="00BC2E97">
            <w:pPr>
              <w:rPr>
                <w:rFonts w:cstheme="minorHAnsi"/>
                <w:b/>
                <w:bCs/>
                <w:sz w:val="22"/>
              </w:rPr>
            </w:pPr>
            <w:r w:rsidRPr="00B703FB">
              <w:rPr>
                <w:rFonts w:cstheme="minorHAnsi"/>
                <w:b/>
                <w:bCs/>
                <w:sz w:val="22"/>
              </w:rPr>
              <w:t>Attendance</w:t>
            </w:r>
          </w:p>
        </w:tc>
        <w:tc>
          <w:tcPr>
            <w:tcW w:w="12708" w:type="dxa"/>
          </w:tcPr>
          <w:p w14:paraId="6AFCB8EB" w14:textId="26984B46" w:rsidR="00D67E56" w:rsidRDefault="00D67E56" w:rsidP="00BC2E97">
            <w:pPr>
              <w:rPr>
                <w:sz w:val="22"/>
              </w:rPr>
            </w:pPr>
            <w:r w:rsidRPr="00B703FB">
              <w:rPr>
                <w:sz w:val="22"/>
              </w:rPr>
              <w:t>Schools should continue to record attendance in the register. Schools should follow up on absences of the pupils who are expected to be in school but where a parent wishes for their child to be absent, we expect schools to authorise the absence during this national lockdown period. Absence will not be penalised.</w:t>
            </w:r>
          </w:p>
          <w:p w14:paraId="3B8C9020" w14:textId="1A81F158" w:rsidR="00923208" w:rsidRDefault="00923208" w:rsidP="00BC2E97"/>
          <w:p w14:paraId="5DBF6252" w14:textId="77777777" w:rsidR="00923208" w:rsidRDefault="00923208" w:rsidP="00923208">
            <w:pPr>
              <w:rPr>
                <w:sz w:val="22"/>
              </w:rPr>
            </w:pPr>
            <w:r w:rsidRPr="00B703FB">
              <w:rPr>
                <w:sz w:val="22"/>
              </w:rPr>
              <w:t>All pupils who are not eligible to be in school should be marked as Code X.</w:t>
            </w:r>
          </w:p>
          <w:p w14:paraId="122BC3C6" w14:textId="77777777" w:rsidR="00923208" w:rsidRPr="00B703FB" w:rsidRDefault="00923208" w:rsidP="00923208">
            <w:pPr>
              <w:rPr>
                <w:sz w:val="22"/>
              </w:rPr>
            </w:pPr>
          </w:p>
          <w:p w14:paraId="3402508E" w14:textId="77777777" w:rsidR="00923208" w:rsidRPr="00B703FB" w:rsidRDefault="00923208" w:rsidP="00923208">
            <w:pPr>
              <w:rPr>
                <w:sz w:val="22"/>
              </w:rPr>
            </w:pPr>
            <w:r w:rsidRPr="00B703FB">
              <w:rPr>
                <w:sz w:val="22"/>
              </w:rPr>
              <w:t>If the parent of a vulnerable child wishes their child to be absent, the parent should let the school know. The Department expects schools to grant applications for leave of absence given the exceptional circumstances. This should be recorded as code C (leave of absence authorised by the school) unless another authorised absence code is more applicable.</w:t>
            </w:r>
          </w:p>
          <w:p w14:paraId="7C4EFAD1" w14:textId="77777777" w:rsidR="00D67E56" w:rsidRDefault="00D67E56" w:rsidP="00BC2E97">
            <w:pPr>
              <w:rPr>
                <w:sz w:val="22"/>
              </w:rPr>
            </w:pPr>
          </w:p>
          <w:p w14:paraId="7CF9100B" w14:textId="77777777" w:rsidR="00D67E56" w:rsidRDefault="00D67E56" w:rsidP="00BC2E97">
            <w:pPr>
              <w:rPr>
                <w:sz w:val="22"/>
                <w:szCs w:val="20"/>
              </w:rPr>
            </w:pPr>
            <w:r w:rsidRPr="001F4698">
              <w:rPr>
                <w:sz w:val="22"/>
                <w:szCs w:val="20"/>
              </w:rPr>
              <w:t xml:space="preserve">When a vulnerable child is asked to self-isolate, schools should notify their social worker (if they have one). School leaders should then agree with the social worker the </w:t>
            </w:r>
            <w:r w:rsidRPr="0073123A">
              <w:rPr>
                <w:sz w:val="22"/>
                <w:szCs w:val="20"/>
              </w:rPr>
              <w:t>best way to maintain contact and offer support to the vulnerable child or young person.</w:t>
            </w:r>
          </w:p>
          <w:p w14:paraId="79E97A64" w14:textId="77777777" w:rsidR="00D67E56" w:rsidRPr="001E6782" w:rsidRDefault="00D67E56" w:rsidP="00BC2E97">
            <w:pPr>
              <w:rPr>
                <w:rStyle w:val="Hyperlink"/>
                <w:sz w:val="20"/>
                <w:szCs w:val="20"/>
              </w:rPr>
            </w:pPr>
            <w:r w:rsidRPr="001E6782">
              <w:rPr>
                <w:rFonts w:ascii="Helvetica" w:hAnsi="Helvetica" w:cs="Helvetica"/>
                <w:color w:val="0B0C0C"/>
                <w:sz w:val="29"/>
                <w:szCs w:val="29"/>
                <w:lang w:eastAsia="en-GB"/>
              </w:rPr>
              <w:fldChar w:fldCharType="begin"/>
            </w:r>
            <w:r>
              <w:rPr>
                <w:rFonts w:ascii="Helvetica" w:hAnsi="Helvetica" w:cs="Helvetica"/>
                <w:color w:val="0B0C0C"/>
                <w:sz w:val="29"/>
                <w:szCs w:val="29"/>
                <w:lang w:eastAsia="en-GB"/>
              </w:rPr>
              <w:instrText xml:space="preserve"> HYPERLINK "https://assets.publishing.service.gov.uk/government/uploads/system/uploads/attachment_data/file/907535/School_attendance_guidance_for_2020_to_2021_academic_year.pdf" </w:instrText>
            </w:r>
            <w:r w:rsidRPr="001E6782">
              <w:rPr>
                <w:rFonts w:ascii="Helvetica" w:hAnsi="Helvetica" w:cs="Helvetica"/>
                <w:color w:val="0B0C0C"/>
                <w:sz w:val="29"/>
                <w:szCs w:val="29"/>
                <w:lang w:eastAsia="en-GB"/>
              </w:rPr>
              <w:fldChar w:fldCharType="separate"/>
            </w:r>
          </w:p>
          <w:p w14:paraId="0D094D09" w14:textId="77777777" w:rsidR="00D67E56" w:rsidRPr="001E6782" w:rsidRDefault="00D67E56" w:rsidP="00BC2E97">
            <w:pPr>
              <w:pStyle w:val="NormalWeb"/>
              <w:spacing w:before="0" w:beforeAutospacing="0" w:after="300" w:afterAutospacing="0"/>
              <w:rPr>
                <w:rFonts w:asciiTheme="minorHAnsi" w:hAnsiTheme="minorHAnsi" w:cstheme="minorBidi"/>
                <w:color w:val="0000FF"/>
                <w:u w:val="single"/>
                <w:lang w:eastAsia="en-US"/>
              </w:rPr>
            </w:pPr>
            <w:r w:rsidRPr="001E6782">
              <w:rPr>
                <w:rStyle w:val="Hyperlink"/>
                <w:rFonts w:asciiTheme="minorHAnsi" w:hAnsiTheme="minorHAnsi" w:cstheme="minorBidi"/>
                <w:lang w:eastAsia="en-US"/>
              </w:rPr>
              <w:t>Schools attendance: guidance for schools</w:t>
            </w:r>
            <w:r w:rsidRPr="001E6782">
              <w:rPr>
                <w:rStyle w:val="Hyperlink"/>
                <w:rFonts w:asciiTheme="minorHAnsi" w:hAnsiTheme="minorHAnsi" w:cstheme="minorBidi"/>
                <w:lang w:eastAsia="en-US"/>
              </w:rPr>
              <w:fldChar w:fldCharType="end"/>
            </w:r>
          </w:p>
        </w:tc>
      </w:tr>
      <w:tr w:rsidR="00345E5D" w:rsidRPr="00B703FB" w14:paraId="4FD9C023" w14:textId="77777777" w:rsidTr="00345E5D">
        <w:tc>
          <w:tcPr>
            <w:tcW w:w="1604" w:type="dxa"/>
            <w:gridSpan w:val="2"/>
            <w:tcBorders>
              <w:bottom w:val="single" w:sz="4" w:space="0" w:color="auto"/>
            </w:tcBorders>
            <w:shd w:val="clear" w:color="auto" w:fill="CCC0D9" w:themeFill="accent4" w:themeFillTint="66"/>
          </w:tcPr>
          <w:p w14:paraId="22FCAE12" w14:textId="77777777" w:rsidR="00345E5D" w:rsidRPr="00B703FB" w:rsidRDefault="00345E5D" w:rsidP="00BA47E0">
            <w:pPr>
              <w:rPr>
                <w:rFonts w:cstheme="minorHAnsi"/>
                <w:b/>
                <w:bCs/>
                <w:sz w:val="22"/>
              </w:rPr>
            </w:pPr>
            <w:r w:rsidRPr="00B703FB">
              <w:rPr>
                <w:rFonts w:cstheme="minorHAnsi"/>
                <w:b/>
                <w:bCs/>
                <w:sz w:val="22"/>
              </w:rPr>
              <w:t>Safeguarding</w:t>
            </w:r>
          </w:p>
        </w:tc>
        <w:tc>
          <w:tcPr>
            <w:tcW w:w="12708" w:type="dxa"/>
            <w:tcBorders>
              <w:bottom w:val="single" w:sz="4" w:space="0" w:color="auto"/>
            </w:tcBorders>
          </w:tcPr>
          <w:p w14:paraId="52AEAFCC" w14:textId="77777777" w:rsidR="00345E5D" w:rsidRDefault="00345E5D" w:rsidP="00BA47E0">
            <w:pPr>
              <w:rPr>
                <w:sz w:val="22"/>
              </w:rPr>
            </w:pPr>
            <w:r w:rsidRPr="00B703FB">
              <w:rPr>
                <w:sz w:val="22"/>
              </w:rPr>
              <w:t>Schools should review their child protection policy (led by their designated safeguarding lead) to reflect the move to remote education for most pupils, revisit annex/addendum.</w:t>
            </w:r>
          </w:p>
          <w:p w14:paraId="129AF4FC" w14:textId="77777777" w:rsidR="00345E5D" w:rsidRPr="00B703FB" w:rsidRDefault="00345E5D" w:rsidP="00BA47E0">
            <w:pPr>
              <w:rPr>
                <w:sz w:val="22"/>
              </w:rPr>
            </w:pPr>
          </w:p>
          <w:p w14:paraId="5DB53326" w14:textId="77777777" w:rsidR="00345E5D" w:rsidRDefault="00345E5D" w:rsidP="00BA47E0">
            <w:pPr>
              <w:rPr>
                <w:sz w:val="22"/>
              </w:rPr>
            </w:pPr>
            <w:r w:rsidRPr="00B703FB">
              <w:rPr>
                <w:sz w:val="22"/>
              </w:rPr>
              <w:t>There should be no change to local multi-agency safeguarding arrangements.</w:t>
            </w:r>
          </w:p>
          <w:p w14:paraId="0B781D36" w14:textId="77777777" w:rsidR="00345E5D" w:rsidRPr="00B703FB" w:rsidRDefault="00345E5D" w:rsidP="00BA47E0">
            <w:pPr>
              <w:rPr>
                <w:sz w:val="22"/>
              </w:rPr>
            </w:pPr>
          </w:p>
          <w:p w14:paraId="1A056362" w14:textId="77777777" w:rsidR="00345E5D" w:rsidRPr="00B703FB" w:rsidRDefault="00345E5D" w:rsidP="00BA47E0">
            <w:pPr>
              <w:rPr>
                <w:sz w:val="22"/>
              </w:rPr>
            </w:pPr>
            <w:r w:rsidRPr="00B703FB">
              <w:rPr>
                <w:sz w:val="22"/>
              </w:rPr>
              <w:lastRenderedPageBreak/>
              <w:t>It is expected that schools will have a trained DSL (or deputy) available on site. However, it is recognised that for some schools there may be operational challenges to this. In such cases, there are two options to consider:</w:t>
            </w:r>
          </w:p>
          <w:p w14:paraId="5BC25402" w14:textId="77777777" w:rsidR="00345E5D" w:rsidRPr="00B703FB" w:rsidRDefault="00345E5D" w:rsidP="00BA47E0">
            <w:pPr>
              <w:pStyle w:val="ListParagraph"/>
              <w:numPr>
                <w:ilvl w:val="0"/>
                <w:numId w:val="11"/>
              </w:numPr>
              <w:rPr>
                <w:sz w:val="22"/>
              </w:rPr>
            </w:pPr>
            <w:r w:rsidRPr="00B703FB">
              <w:rPr>
                <w:sz w:val="22"/>
              </w:rPr>
              <w:t>a trained DSL (or deputy) from the school can be available to be contacted via phone or online video, for example working from home</w:t>
            </w:r>
          </w:p>
          <w:p w14:paraId="491DAD6A" w14:textId="77777777" w:rsidR="00345E5D" w:rsidRPr="00B703FB" w:rsidRDefault="00345E5D" w:rsidP="00BA47E0">
            <w:pPr>
              <w:pStyle w:val="ListParagraph"/>
              <w:numPr>
                <w:ilvl w:val="0"/>
                <w:numId w:val="11"/>
              </w:numPr>
              <w:rPr>
                <w:sz w:val="22"/>
              </w:rPr>
            </w:pPr>
            <w:r w:rsidRPr="00B703FB">
              <w:rPr>
                <w:sz w:val="22"/>
              </w:rPr>
              <w:t xml:space="preserve">sharing trained DSLs (or deputies) with other schools (who should be available to be contacted via phone or online video) </w:t>
            </w:r>
          </w:p>
          <w:p w14:paraId="12928970" w14:textId="77777777" w:rsidR="00345E5D" w:rsidRPr="00B703FB" w:rsidRDefault="00345E5D" w:rsidP="00BA47E0">
            <w:pPr>
              <w:pStyle w:val="ListParagraph"/>
              <w:numPr>
                <w:ilvl w:val="0"/>
                <w:numId w:val="11"/>
              </w:numPr>
              <w:rPr>
                <w:sz w:val="22"/>
              </w:rPr>
            </w:pPr>
            <w:r w:rsidRPr="00B703FB">
              <w:rPr>
                <w:sz w:val="22"/>
              </w:rPr>
              <w:t>Where a trained DSL (or deputy) is not on site, in addition to one of the above options, a senior leader should take responsibility for co-ordinating safeguarding on site.</w:t>
            </w:r>
          </w:p>
          <w:p w14:paraId="1AAF3D92" w14:textId="77777777" w:rsidR="00345E5D" w:rsidRPr="00B703FB" w:rsidRDefault="00345E5D" w:rsidP="00BA47E0">
            <w:pPr>
              <w:pStyle w:val="ListParagraph"/>
              <w:rPr>
                <w:sz w:val="22"/>
              </w:rPr>
            </w:pPr>
          </w:p>
        </w:tc>
      </w:tr>
      <w:tr w:rsidR="00345E5D" w:rsidRPr="00BC358C" w14:paraId="21B3FB30" w14:textId="77777777" w:rsidTr="00345E5D">
        <w:tc>
          <w:tcPr>
            <w:tcW w:w="14312" w:type="dxa"/>
            <w:gridSpan w:val="3"/>
            <w:tcBorders>
              <w:left w:val="nil"/>
              <w:bottom w:val="single" w:sz="4" w:space="0" w:color="auto"/>
              <w:right w:val="nil"/>
            </w:tcBorders>
            <w:shd w:val="clear" w:color="auto" w:fill="auto"/>
          </w:tcPr>
          <w:p w14:paraId="7D28CFAC" w14:textId="4769CBA5" w:rsidR="00345E5D" w:rsidRPr="00345E5D" w:rsidRDefault="00345E5D" w:rsidP="00345E5D">
            <w:pPr>
              <w:shd w:val="clear" w:color="auto" w:fill="FFFFFF"/>
              <w:rPr>
                <w:rFonts w:eastAsia="Times New Roman" w:cstheme="minorHAnsi"/>
                <w:color w:val="0B0C0C"/>
                <w:sz w:val="22"/>
                <w:lang w:eastAsia="en-GB"/>
              </w:rPr>
            </w:pPr>
          </w:p>
        </w:tc>
      </w:tr>
      <w:tr w:rsidR="00B703FB" w:rsidRPr="00BC358C" w14:paraId="3419F3A2" w14:textId="77777777" w:rsidTr="00345E5D">
        <w:tc>
          <w:tcPr>
            <w:tcW w:w="1604" w:type="dxa"/>
            <w:gridSpan w:val="2"/>
            <w:tcBorders>
              <w:top w:val="single" w:sz="4" w:space="0" w:color="auto"/>
            </w:tcBorders>
            <w:shd w:val="clear" w:color="auto" w:fill="C6D9F1" w:themeFill="text2" w:themeFillTint="33"/>
          </w:tcPr>
          <w:p w14:paraId="193127D9" w14:textId="77777777" w:rsidR="00B703FB" w:rsidRPr="00BC358C" w:rsidRDefault="00B703FB" w:rsidP="00122CBC">
            <w:pPr>
              <w:rPr>
                <w:rFonts w:cstheme="minorHAnsi"/>
                <w:b/>
                <w:bCs/>
                <w:sz w:val="22"/>
              </w:rPr>
            </w:pPr>
            <w:r w:rsidRPr="00BC358C">
              <w:rPr>
                <w:rFonts w:cstheme="minorHAnsi"/>
                <w:b/>
                <w:bCs/>
                <w:sz w:val="22"/>
              </w:rPr>
              <w:t>Technology</w:t>
            </w:r>
          </w:p>
        </w:tc>
        <w:tc>
          <w:tcPr>
            <w:tcW w:w="12708" w:type="dxa"/>
            <w:tcBorders>
              <w:top w:val="single" w:sz="4" w:space="0" w:color="auto"/>
            </w:tcBorders>
          </w:tcPr>
          <w:p w14:paraId="6F24DDEA" w14:textId="37A24EFB" w:rsidR="00244DE0" w:rsidRPr="0000628E" w:rsidRDefault="009213A0" w:rsidP="00244DE0">
            <w:pPr>
              <w:pStyle w:val="ListParagraph"/>
              <w:numPr>
                <w:ilvl w:val="0"/>
                <w:numId w:val="3"/>
              </w:numPr>
              <w:shd w:val="clear" w:color="auto" w:fill="FFFFFF"/>
              <w:rPr>
                <w:rFonts w:eastAsia="Times New Roman" w:cstheme="minorHAnsi"/>
                <w:sz w:val="22"/>
                <w:lang w:eastAsia="en-GB"/>
              </w:rPr>
            </w:pPr>
            <w:r w:rsidRPr="0000628E">
              <w:rPr>
                <w:rFonts w:eastAsia="Times New Roman" w:cstheme="minorHAnsi"/>
                <w:sz w:val="22"/>
                <w:lang w:eastAsia="en-GB"/>
              </w:rPr>
              <w:t>Schools will be s</w:t>
            </w:r>
            <w:r w:rsidR="00244DE0" w:rsidRPr="0000628E">
              <w:rPr>
                <w:rFonts w:eastAsia="Times New Roman" w:cstheme="minorHAnsi"/>
                <w:sz w:val="22"/>
                <w:lang w:eastAsia="en-GB"/>
              </w:rPr>
              <w:t>upported by further deliveries of laptops and tablets for the most disadvantaged.</w:t>
            </w:r>
          </w:p>
          <w:p w14:paraId="746240CE" w14:textId="68BCBD49" w:rsidR="00244DE0" w:rsidRPr="0000628E" w:rsidRDefault="00244DE0" w:rsidP="00244DE0">
            <w:pPr>
              <w:pStyle w:val="NormalWeb"/>
              <w:numPr>
                <w:ilvl w:val="0"/>
                <w:numId w:val="3"/>
              </w:numPr>
              <w:spacing w:before="0" w:beforeAutospacing="0" w:after="0" w:afterAutospacing="0"/>
              <w:rPr>
                <w:rFonts w:asciiTheme="minorHAnsi" w:hAnsiTheme="minorHAnsi" w:cstheme="minorHAnsi"/>
                <w:color w:val="FF0000"/>
              </w:rPr>
            </w:pPr>
            <w:r w:rsidRPr="0000628E">
              <w:rPr>
                <w:rFonts w:asciiTheme="minorHAnsi" w:eastAsia="Times New Roman" w:hAnsiTheme="minorHAnsi" w:cstheme="minorHAnsi"/>
              </w:rPr>
              <w:t>Schools can request free mobile data uplifts for disadvantaged families, via the Department for Education’s website.</w:t>
            </w:r>
          </w:p>
          <w:p w14:paraId="0DD272E5" w14:textId="77777777" w:rsidR="00B703FB" w:rsidRPr="00653383" w:rsidRDefault="00B703FB" w:rsidP="00244DE0">
            <w:pPr>
              <w:pStyle w:val="NormalWeb"/>
              <w:numPr>
                <w:ilvl w:val="0"/>
                <w:numId w:val="3"/>
              </w:numPr>
              <w:spacing w:before="0" w:beforeAutospacing="0" w:after="0" w:afterAutospacing="0"/>
              <w:rPr>
                <w:rStyle w:val="Hyperlink"/>
                <w:rFonts w:cstheme="minorBidi"/>
                <w:lang w:eastAsia="en-US"/>
              </w:rPr>
            </w:pPr>
            <w:r w:rsidRPr="0000628E">
              <w:rPr>
                <w:rFonts w:asciiTheme="minorHAnsi" w:hAnsiTheme="minorHAnsi" w:cstheme="minorHAnsi"/>
              </w:rPr>
              <w:t>All secondary schools have been invited to order through the</w:t>
            </w:r>
            <w:r w:rsidRPr="0000628E">
              <w:rPr>
                <w:rFonts w:asciiTheme="minorHAnsi" w:hAnsiTheme="minorHAnsi" w:cstheme="minorHAnsi"/>
                <w:color w:val="FF0000"/>
              </w:rPr>
              <w:t xml:space="preserve"> </w:t>
            </w:r>
            <w:hyperlink r:id="rId13" w:history="1">
              <w:r w:rsidRPr="00653383">
                <w:rPr>
                  <w:rStyle w:val="Hyperlink"/>
                  <w:rFonts w:asciiTheme="minorHAnsi" w:hAnsiTheme="minorHAnsi" w:cstheme="minorBidi"/>
                  <w:lang w:eastAsia="en-US"/>
                </w:rPr>
                <w:t>Get help with technology service</w:t>
              </w:r>
            </w:hyperlink>
            <w:r w:rsidRPr="00653383">
              <w:rPr>
                <w:rStyle w:val="Hyperlink"/>
                <w:rFonts w:cstheme="minorBidi"/>
                <w:lang w:eastAsia="en-US"/>
              </w:rPr>
              <w:t xml:space="preserve">. </w:t>
            </w:r>
          </w:p>
          <w:p w14:paraId="5D8E8478" w14:textId="77777777" w:rsidR="00B703FB" w:rsidRPr="0000628E" w:rsidRDefault="00B703FB" w:rsidP="00244DE0">
            <w:pPr>
              <w:pStyle w:val="NormalWeb"/>
              <w:numPr>
                <w:ilvl w:val="0"/>
                <w:numId w:val="3"/>
              </w:numPr>
              <w:spacing w:before="0" w:beforeAutospacing="0" w:after="0" w:afterAutospacing="0"/>
              <w:rPr>
                <w:rFonts w:asciiTheme="minorHAnsi" w:hAnsiTheme="minorHAnsi" w:cstheme="minorHAnsi"/>
              </w:rPr>
            </w:pPr>
            <w:r w:rsidRPr="0000628E">
              <w:rPr>
                <w:rFonts w:asciiTheme="minorHAnsi" w:hAnsiTheme="minorHAnsi" w:cstheme="minorHAnsi"/>
              </w:rPr>
              <w:t>We will invite primary schools to order over the coming weeks, starting with the most disadvantaged areas in England. We will contact each school by email as soon as they can order.</w:t>
            </w:r>
          </w:p>
          <w:p w14:paraId="3F7CE229" w14:textId="77777777" w:rsidR="00B703FB" w:rsidRPr="00BC358C" w:rsidRDefault="00B703FB" w:rsidP="00244DE0">
            <w:pPr>
              <w:pStyle w:val="NormalWeb"/>
              <w:numPr>
                <w:ilvl w:val="0"/>
                <w:numId w:val="3"/>
              </w:numPr>
              <w:spacing w:before="0" w:beforeAutospacing="0" w:after="0" w:afterAutospacing="0"/>
              <w:rPr>
                <w:rFonts w:asciiTheme="minorHAnsi" w:hAnsiTheme="minorHAnsi" w:cstheme="minorHAnsi"/>
                <w:color w:val="0B0C0C"/>
              </w:rPr>
            </w:pPr>
            <w:r w:rsidRPr="00BC358C">
              <w:rPr>
                <w:rFonts w:asciiTheme="minorHAnsi" w:hAnsiTheme="minorHAnsi" w:cstheme="minorHAnsi"/>
                <w:color w:val="0B0C0C"/>
              </w:rPr>
              <w:t xml:space="preserve">Most orders will be delivered within 2 working days of an order being placed, and we aim to deliver all within 5 working days. We are also </w:t>
            </w:r>
            <w:r w:rsidRPr="00653383">
              <w:rPr>
                <w:rStyle w:val="Hyperlink"/>
                <w:rFonts w:cstheme="minorBidi"/>
                <w:lang w:eastAsia="en-US"/>
              </w:rPr>
              <w:t xml:space="preserve">providing </w:t>
            </w:r>
            <w:hyperlink r:id="rId14" w:history="1">
              <w:r w:rsidRPr="00653383">
                <w:rPr>
                  <w:rStyle w:val="Hyperlink"/>
                  <w:rFonts w:asciiTheme="minorHAnsi" w:hAnsiTheme="minorHAnsi" w:cstheme="minorBidi"/>
                  <w:lang w:eastAsia="en-US"/>
                </w:rPr>
                <w:t>internet connections</w:t>
              </w:r>
            </w:hyperlink>
            <w:r w:rsidRPr="00BC358C">
              <w:rPr>
                <w:rFonts w:asciiTheme="minorHAnsi" w:hAnsiTheme="minorHAnsi" w:cstheme="minorHAnsi"/>
                <w:color w:val="0B0C0C"/>
              </w:rPr>
              <w:t xml:space="preserve"> where they are needed.</w:t>
            </w:r>
          </w:p>
          <w:p w14:paraId="67439D25" w14:textId="5FBEF74E" w:rsidR="00B703FB" w:rsidRPr="001E6782" w:rsidRDefault="00B703FB" w:rsidP="00244DE0">
            <w:pPr>
              <w:pStyle w:val="NormalWeb"/>
              <w:numPr>
                <w:ilvl w:val="0"/>
                <w:numId w:val="3"/>
              </w:numPr>
              <w:spacing w:before="0" w:beforeAutospacing="0" w:after="0" w:afterAutospacing="0"/>
              <w:rPr>
                <w:rFonts w:asciiTheme="minorHAnsi" w:hAnsiTheme="minorHAnsi" w:cstheme="minorHAnsi"/>
              </w:rPr>
            </w:pPr>
            <w:r w:rsidRPr="00BC358C">
              <w:rPr>
                <w:rFonts w:asciiTheme="minorHAnsi" w:hAnsiTheme="minorHAnsi" w:cstheme="minorHAnsi"/>
                <w:color w:val="0B0C0C"/>
              </w:rPr>
              <w:t xml:space="preserve">If you do not already have access to a digital education </w:t>
            </w:r>
            <w:proofErr w:type="gramStart"/>
            <w:r w:rsidRPr="00BC358C">
              <w:rPr>
                <w:rFonts w:asciiTheme="minorHAnsi" w:hAnsiTheme="minorHAnsi" w:cstheme="minorHAnsi"/>
                <w:color w:val="0B0C0C"/>
              </w:rPr>
              <w:t>platform</w:t>
            </w:r>
            <w:proofErr w:type="gramEnd"/>
            <w:r w:rsidRPr="00BC358C">
              <w:rPr>
                <w:rFonts w:asciiTheme="minorHAnsi" w:hAnsiTheme="minorHAnsi" w:cstheme="minorHAnsi"/>
                <w:color w:val="0B0C0C"/>
              </w:rPr>
              <w:t xml:space="preserve"> we can help you set one up for free. </w:t>
            </w:r>
          </w:p>
          <w:p w14:paraId="3C22635F" w14:textId="44437690" w:rsidR="001E6782" w:rsidRPr="001E6782" w:rsidRDefault="001E6782" w:rsidP="00244DE0">
            <w:pPr>
              <w:pStyle w:val="NormalWeb"/>
              <w:numPr>
                <w:ilvl w:val="0"/>
                <w:numId w:val="3"/>
              </w:numPr>
              <w:spacing w:before="0" w:beforeAutospacing="0" w:after="0" w:afterAutospacing="0"/>
              <w:rPr>
                <w:rStyle w:val="Hyperlink"/>
                <w:color w:val="1D70B8"/>
              </w:rPr>
            </w:pPr>
            <w:r w:rsidRPr="001E6782">
              <w:rPr>
                <w:rFonts w:eastAsiaTheme="majorEastAsia" w:cstheme="majorBidi"/>
                <w:color w:val="0B0C0C"/>
                <w:lang w:eastAsia="en-US"/>
              </w:rPr>
              <w:t>Updated Guidance</w:t>
            </w:r>
            <w:r w:rsidRPr="00653383">
              <w:rPr>
                <w:rStyle w:val="Hyperlink"/>
                <w:rFonts w:cstheme="minorBidi"/>
              </w:rPr>
              <w:t>:</w:t>
            </w:r>
            <w:r w:rsidRPr="00653383">
              <w:rPr>
                <w:rStyle w:val="Hyperlink"/>
                <w:rFonts w:cstheme="minorBidi"/>
                <w:lang w:eastAsia="en-US"/>
              </w:rPr>
              <w:t xml:space="preserve"> </w:t>
            </w:r>
            <w:hyperlink r:id="rId15" w:history="1">
              <w:r w:rsidRPr="00653383">
                <w:rPr>
                  <w:rStyle w:val="Hyperlink"/>
                  <w:rFonts w:cstheme="minorBidi"/>
                  <w:lang w:eastAsia="en-US"/>
                </w:rPr>
                <w:t>Get help with technology during coronavirus (COVID-19)</w:t>
              </w:r>
            </w:hyperlink>
          </w:p>
          <w:p w14:paraId="34FD0E52" w14:textId="529989AD" w:rsidR="00BC358C" w:rsidRPr="00BC358C" w:rsidRDefault="00BC358C" w:rsidP="00BC358C">
            <w:pPr>
              <w:pStyle w:val="NormalWeb"/>
              <w:spacing w:before="0" w:beforeAutospacing="0" w:after="0" w:afterAutospacing="0"/>
              <w:ind w:left="360"/>
              <w:rPr>
                <w:rFonts w:asciiTheme="minorHAnsi" w:hAnsiTheme="minorHAnsi" w:cstheme="minorHAnsi"/>
              </w:rPr>
            </w:pPr>
          </w:p>
        </w:tc>
      </w:tr>
      <w:tr w:rsidR="00B703FB" w:rsidRPr="00BC358C" w14:paraId="46A80E33" w14:textId="77777777" w:rsidTr="00345E5D">
        <w:tc>
          <w:tcPr>
            <w:tcW w:w="1604" w:type="dxa"/>
            <w:gridSpan w:val="2"/>
            <w:shd w:val="clear" w:color="auto" w:fill="C6D9F1" w:themeFill="text2" w:themeFillTint="33"/>
          </w:tcPr>
          <w:p w14:paraId="5D34682D" w14:textId="0B389C71" w:rsidR="00B703FB" w:rsidRPr="00BC358C" w:rsidRDefault="00B703FB" w:rsidP="00874ADD">
            <w:pPr>
              <w:rPr>
                <w:rFonts w:cstheme="minorHAnsi"/>
                <w:b/>
                <w:bCs/>
                <w:sz w:val="22"/>
              </w:rPr>
            </w:pPr>
            <w:r w:rsidRPr="00BC358C">
              <w:rPr>
                <w:rFonts w:cstheme="minorHAnsi"/>
                <w:b/>
                <w:bCs/>
                <w:sz w:val="22"/>
              </w:rPr>
              <w:t xml:space="preserve">Remote </w:t>
            </w:r>
            <w:r w:rsidR="001B37FA">
              <w:rPr>
                <w:rFonts w:cstheme="minorHAnsi"/>
                <w:b/>
                <w:bCs/>
                <w:sz w:val="22"/>
              </w:rPr>
              <w:t>E</w:t>
            </w:r>
            <w:r w:rsidRPr="00BC358C">
              <w:rPr>
                <w:rFonts w:cstheme="minorHAnsi"/>
                <w:b/>
                <w:bCs/>
                <w:sz w:val="22"/>
              </w:rPr>
              <w:t>ducation</w:t>
            </w:r>
          </w:p>
        </w:tc>
        <w:tc>
          <w:tcPr>
            <w:tcW w:w="12708" w:type="dxa"/>
          </w:tcPr>
          <w:p w14:paraId="5FF314E0" w14:textId="72969AD4" w:rsidR="00B703FB" w:rsidRPr="00BC358C" w:rsidRDefault="00B703FB" w:rsidP="00874ADD">
            <w:pPr>
              <w:pStyle w:val="ListParagraph"/>
              <w:numPr>
                <w:ilvl w:val="0"/>
                <w:numId w:val="5"/>
              </w:numPr>
              <w:shd w:val="clear" w:color="auto" w:fill="FFFFFF"/>
              <w:rPr>
                <w:rFonts w:eastAsia="Times New Roman" w:cstheme="minorHAnsi"/>
                <w:color w:val="0B0C0C"/>
                <w:sz w:val="22"/>
                <w:lang w:eastAsia="en-GB"/>
              </w:rPr>
            </w:pPr>
            <w:r w:rsidRPr="00BC358C">
              <w:rPr>
                <w:rFonts w:eastAsia="Times New Roman" w:cstheme="minorHAnsi"/>
                <w:color w:val="0B0C0C"/>
                <w:sz w:val="22"/>
                <w:lang w:eastAsia="en-GB"/>
              </w:rPr>
              <w:t xml:space="preserve">Schools expected to provide a set number of hours of high-quality remote education for pupils </w:t>
            </w:r>
          </w:p>
          <w:p w14:paraId="3066B46F" w14:textId="77777777" w:rsidR="00BC358C" w:rsidRDefault="00B703FB" w:rsidP="00244DE0">
            <w:pPr>
              <w:pStyle w:val="ListParagraph"/>
              <w:numPr>
                <w:ilvl w:val="0"/>
                <w:numId w:val="5"/>
              </w:numPr>
              <w:shd w:val="clear" w:color="auto" w:fill="FFFFFF"/>
              <w:rPr>
                <w:rFonts w:eastAsia="Times New Roman" w:cstheme="minorHAnsi"/>
                <w:color w:val="0B0C0C"/>
                <w:sz w:val="22"/>
                <w:lang w:eastAsia="en-GB"/>
              </w:rPr>
            </w:pPr>
            <w:r w:rsidRPr="00BC358C">
              <w:rPr>
                <w:rFonts w:eastAsia="Times New Roman" w:cstheme="minorHAnsi"/>
                <w:color w:val="0B0C0C"/>
                <w:sz w:val="22"/>
                <w:lang w:eastAsia="en-GB"/>
              </w:rPr>
              <w:t>Expectation that schools to have a digital platform, such as G-Suite or Microsoft Education, and should provide at least some of their remote provision via video lessons – this can be done by school-led videos or using other providers like Oak National Academy</w:t>
            </w:r>
          </w:p>
          <w:p w14:paraId="3E8D6D73" w14:textId="423CC537" w:rsidR="00244DE0" w:rsidRPr="00244DE0" w:rsidRDefault="00244DE0" w:rsidP="0069307E">
            <w:pPr>
              <w:pStyle w:val="ListParagraph"/>
              <w:shd w:val="clear" w:color="auto" w:fill="FFFFFF"/>
              <w:ind w:left="360"/>
              <w:rPr>
                <w:rFonts w:eastAsia="Times New Roman" w:cstheme="minorHAnsi"/>
                <w:color w:val="0B0C0C"/>
                <w:sz w:val="22"/>
                <w:lang w:eastAsia="en-GB"/>
              </w:rPr>
            </w:pPr>
          </w:p>
        </w:tc>
      </w:tr>
      <w:tr w:rsidR="00345E5D" w:rsidRPr="00BC358C" w14:paraId="66965589" w14:textId="77777777" w:rsidTr="00BA47E0">
        <w:tc>
          <w:tcPr>
            <w:tcW w:w="1604" w:type="dxa"/>
            <w:gridSpan w:val="2"/>
            <w:shd w:val="clear" w:color="auto" w:fill="C6D9F1" w:themeFill="text2" w:themeFillTint="33"/>
          </w:tcPr>
          <w:p w14:paraId="6C4F6BD3" w14:textId="5A27BBDC" w:rsidR="00FB0FF0" w:rsidRDefault="00FB0FF0" w:rsidP="00BA47E0">
            <w:pPr>
              <w:rPr>
                <w:rFonts w:cstheme="minorHAnsi"/>
                <w:b/>
                <w:bCs/>
                <w:sz w:val="22"/>
              </w:rPr>
            </w:pPr>
            <w:r>
              <w:rPr>
                <w:rFonts w:cstheme="minorHAnsi"/>
                <w:b/>
                <w:bCs/>
                <w:sz w:val="22"/>
              </w:rPr>
              <w:t xml:space="preserve">Remote </w:t>
            </w:r>
            <w:r w:rsidR="001B37FA">
              <w:rPr>
                <w:rFonts w:cstheme="minorHAnsi"/>
                <w:b/>
                <w:bCs/>
                <w:sz w:val="22"/>
              </w:rPr>
              <w:t>E</w:t>
            </w:r>
            <w:r>
              <w:rPr>
                <w:rFonts w:cstheme="minorHAnsi"/>
                <w:b/>
                <w:bCs/>
                <w:sz w:val="22"/>
              </w:rPr>
              <w:t>ducation</w:t>
            </w:r>
          </w:p>
          <w:p w14:paraId="78FE93B5" w14:textId="514C0457" w:rsidR="00345E5D" w:rsidRPr="00BC358C" w:rsidRDefault="00345E5D" w:rsidP="00BA47E0">
            <w:pPr>
              <w:rPr>
                <w:rFonts w:cstheme="minorHAnsi"/>
                <w:b/>
                <w:bCs/>
                <w:sz w:val="22"/>
              </w:rPr>
            </w:pPr>
            <w:r w:rsidRPr="00BC358C">
              <w:rPr>
                <w:rFonts w:cstheme="minorHAnsi"/>
                <w:b/>
                <w:bCs/>
                <w:sz w:val="22"/>
              </w:rPr>
              <w:t>Complaints</w:t>
            </w:r>
          </w:p>
        </w:tc>
        <w:tc>
          <w:tcPr>
            <w:tcW w:w="12708" w:type="dxa"/>
          </w:tcPr>
          <w:p w14:paraId="59758BC1" w14:textId="77777777" w:rsidR="00345E5D" w:rsidRPr="00BC358C" w:rsidRDefault="00345E5D" w:rsidP="00BA47E0">
            <w:pPr>
              <w:pStyle w:val="ListParagraph"/>
              <w:numPr>
                <w:ilvl w:val="0"/>
                <w:numId w:val="10"/>
              </w:numPr>
              <w:shd w:val="clear" w:color="auto" w:fill="FFFFFF"/>
              <w:rPr>
                <w:rFonts w:eastAsia="Times New Roman" w:cstheme="minorHAnsi"/>
                <w:color w:val="0B0C0C"/>
                <w:sz w:val="22"/>
                <w:lang w:eastAsia="en-GB"/>
              </w:rPr>
            </w:pPr>
            <w:r w:rsidRPr="00BC358C">
              <w:rPr>
                <w:rFonts w:eastAsia="Times New Roman" w:cstheme="minorHAnsi"/>
                <w:color w:val="0B0C0C"/>
                <w:sz w:val="22"/>
                <w:lang w:eastAsia="en-GB"/>
              </w:rPr>
              <w:t>Parents should raise concerns about remote education with their school and can report those concerns to Ofsted if the matter is not resolved.</w:t>
            </w:r>
          </w:p>
          <w:p w14:paraId="0D7F4568" w14:textId="77777777" w:rsidR="00345E5D" w:rsidRPr="00BC358C" w:rsidRDefault="00345E5D" w:rsidP="00BA47E0">
            <w:pPr>
              <w:pStyle w:val="ListParagraph"/>
              <w:shd w:val="clear" w:color="auto" w:fill="FFFFFF"/>
              <w:ind w:left="360"/>
              <w:rPr>
                <w:rFonts w:eastAsia="Times New Roman" w:cstheme="minorHAnsi"/>
                <w:color w:val="0B0C0C"/>
                <w:sz w:val="22"/>
                <w:lang w:eastAsia="en-GB"/>
              </w:rPr>
            </w:pPr>
          </w:p>
        </w:tc>
      </w:tr>
      <w:tr w:rsidR="00A83183" w:rsidRPr="00CF1434" w14:paraId="29E9254D" w14:textId="77777777" w:rsidTr="00345E5D">
        <w:tc>
          <w:tcPr>
            <w:tcW w:w="1604" w:type="dxa"/>
            <w:gridSpan w:val="2"/>
            <w:shd w:val="clear" w:color="auto" w:fill="CCC0D9" w:themeFill="accent4" w:themeFillTint="66"/>
          </w:tcPr>
          <w:p w14:paraId="19D81518" w14:textId="77777777" w:rsidR="00A83183" w:rsidRPr="00CE4765" w:rsidRDefault="00A83183" w:rsidP="00BC2E97">
            <w:pPr>
              <w:rPr>
                <w:rFonts w:cstheme="minorHAnsi"/>
                <w:b/>
                <w:bCs/>
                <w:sz w:val="22"/>
              </w:rPr>
            </w:pPr>
            <w:r w:rsidRPr="00CE4765">
              <w:rPr>
                <w:rFonts w:cstheme="minorHAnsi"/>
                <w:b/>
                <w:bCs/>
                <w:sz w:val="22"/>
              </w:rPr>
              <w:t>Remote Education</w:t>
            </w:r>
          </w:p>
        </w:tc>
        <w:tc>
          <w:tcPr>
            <w:tcW w:w="12708" w:type="dxa"/>
          </w:tcPr>
          <w:p w14:paraId="2318CCB0" w14:textId="27331C66" w:rsidR="004B3975" w:rsidRDefault="004B3975" w:rsidP="00BC2E97">
            <w:pPr>
              <w:rPr>
                <w:sz w:val="22"/>
                <w:szCs w:val="20"/>
              </w:rPr>
            </w:pPr>
            <w:r w:rsidRPr="004B3975">
              <w:rPr>
                <w:sz w:val="22"/>
                <w:szCs w:val="20"/>
              </w:rPr>
              <w:t>Schools are expected to build on their existing remote education provision, ensuring a strong offer is in place for all pupils.</w:t>
            </w:r>
          </w:p>
          <w:p w14:paraId="59B2BEF5" w14:textId="77777777" w:rsidR="004B3975" w:rsidRDefault="004B3975" w:rsidP="00BC2E97">
            <w:pPr>
              <w:rPr>
                <w:sz w:val="22"/>
                <w:szCs w:val="20"/>
              </w:rPr>
            </w:pPr>
          </w:p>
          <w:p w14:paraId="11ADEACD" w14:textId="097146B8" w:rsidR="00A83183" w:rsidRPr="00CE4765" w:rsidRDefault="00A83183" w:rsidP="00BC2E97">
            <w:pPr>
              <w:rPr>
                <w:sz w:val="22"/>
                <w:szCs w:val="20"/>
              </w:rPr>
            </w:pPr>
            <w:r w:rsidRPr="00CE4765">
              <w:rPr>
                <w:sz w:val="22"/>
                <w:szCs w:val="20"/>
              </w:rPr>
              <w:t xml:space="preserve">The remote education provided should be equivalent in length to the core teaching pupils would receive in school and will include both recorded or live direct teaching time, and time for pupils to complete tasks and assignments independently. </w:t>
            </w:r>
          </w:p>
          <w:p w14:paraId="58156CF9" w14:textId="77777777" w:rsidR="00A83183" w:rsidRPr="00CE4765" w:rsidRDefault="00A83183" w:rsidP="00BC2E97">
            <w:pPr>
              <w:rPr>
                <w:sz w:val="22"/>
                <w:szCs w:val="20"/>
              </w:rPr>
            </w:pPr>
          </w:p>
          <w:p w14:paraId="490276A1" w14:textId="77777777" w:rsidR="00A83183" w:rsidRPr="00CE4765" w:rsidRDefault="00A83183" w:rsidP="00BC2E97">
            <w:pPr>
              <w:rPr>
                <w:sz w:val="22"/>
                <w:szCs w:val="20"/>
              </w:rPr>
            </w:pPr>
            <w:r w:rsidRPr="00CE4765">
              <w:rPr>
                <w:sz w:val="22"/>
                <w:szCs w:val="20"/>
              </w:rPr>
              <w:t xml:space="preserve">The amount of remote education provided should be, as a minimum: </w:t>
            </w:r>
          </w:p>
          <w:p w14:paraId="7E8DE716" w14:textId="77777777" w:rsidR="00A83183" w:rsidRPr="00CE4765" w:rsidRDefault="00A83183" w:rsidP="00A83183">
            <w:pPr>
              <w:pStyle w:val="ListParagraph"/>
              <w:numPr>
                <w:ilvl w:val="0"/>
                <w:numId w:val="15"/>
              </w:numPr>
              <w:rPr>
                <w:sz w:val="22"/>
                <w:szCs w:val="20"/>
              </w:rPr>
            </w:pPr>
            <w:r w:rsidRPr="00CE4765">
              <w:rPr>
                <w:sz w:val="22"/>
                <w:szCs w:val="20"/>
              </w:rPr>
              <w:t xml:space="preserve">Key Stage 1: 3 hours a day on average across the cohort, with less for younger children </w:t>
            </w:r>
          </w:p>
          <w:p w14:paraId="24E726B6" w14:textId="77777777" w:rsidR="00A83183" w:rsidRPr="00CE4765" w:rsidRDefault="00A83183" w:rsidP="00A83183">
            <w:pPr>
              <w:pStyle w:val="ListParagraph"/>
              <w:numPr>
                <w:ilvl w:val="0"/>
                <w:numId w:val="15"/>
              </w:numPr>
              <w:rPr>
                <w:sz w:val="22"/>
                <w:szCs w:val="20"/>
              </w:rPr>
            </w:pPr>
            <w:r w:rsidRPr="00CE4765">
              <w:rPr>
                <w:sz w:val="22"/>
                <w:szCs w:val="20"/>
              </w:rPr>
              <w:lastRenderedPageBreak/>
              <w:t xml:space="preserve">Key Stage 2: 4 hours a day </w:t>
            </w:r>
          </w:p>
          <w:p w14:paraId="52C4E75D" w14:textId="77777777" w:rsidR="00A83183" w:rsidRPr="00CE4765" w:rsidRDefault="00A83183" w:rsidP="00A83183">
            <w:pPr>
              <w:pStyle w:val="ListParagraph"/>
              <w:numPr>
                <w:ilvl w:val="0"/>
                <w:numId w:val="15"/>
              </w:numPr>
              <w:rPr>
                <w:sz w:val="22"/>
                <w:szCs w:val="20"/>
              </w:rPr>
            </w:pPr>
            <w:r w:rsidRPr="00CE4765">
              <w:rPr>
                <w:sz w:val="22"/>
                <w:szCs w:val="20"/>
              </w:rPr>
              <w:t>Key Stages 3 and 4: 5 hours a day</w:t>
            </w:r>
          </w:p>
          <w:p w14:paraId="66ECAD0E" w14:textId="77777777" w:rsidR="00A83183" w:rsidRPr="00CE4765" w:rsidRDefault="00A83183" w:rsidP="00BC2E97">
            <w:pPr>
              <w:rPr>
                <w:sz w:val="22"/>
                <w:szCs w:val="20"/>
              </w:rPr>
            </w:pPr>
          </w:p>
          <w:p w14:paraId="58AE1E3F" w14:textId="77777777" w:rsidR="00A83183" w:rsidRPr="00AA3420" w:rsidRDefault="00A83183" w:rsidP="00BC2E97">
            <w:pPr>
              <w:rPr>
                <w:sz w:val="22"/>
                <w:szCs w:val="20"/>
              </w:rPr>
            </w:pPr>
            <w:r w:rsidRPr="00AA3420">
              <w:rPr>
                <w:sz w:val="22"/>
                <w:szCs w:val="20"/>
              </w:rPr>
              <w:t>The requirement for schools to use their best endeavours to secure the special educational provision called for by the pupils’ special educational needs remains in place.  Schools should work collaboratively with families, putting in place reasonable adjustments as necessary, so that pupils with SEND can successfully access remote education alongside their peers.</w:t>
            </w:r>
          </w:p>
          <w:p w14:paraId="2ACB2D0E" w14:textId="77777777" w:rsidR="00A83183" w:rsidRPr="00AA3420" w:rsidRDefault="00A83183" w:rsidP="00BC2E97">
            <w:pPr>
              <w:pStyle w:val="ListParagraph"/>
              <w:rPr>
                <w:sz w:val="22"/>
                <w:szCs w:val="20"/>
              </w:rPr>
            </w:pPr>
          </w:p>
          <w:p w14:paraId="4F8C4794" w14:textId="77777777" w:rsidR="00A83183" w:rsidRPr="00AA3420" w:rsidRDefault="00A83183" w:rsidP="00BC2E97">
            <w:pPr>
              <w:rPr>
                <w:sz w:val="22"/>
                <w:szCs w:val="20"/>
              </w:rPr>
            </w:pPr>
            <w:r w:rsidRPr="00AA3420">
              <w:rPr>
                <w:sz w:val="22"/>
                <w:szCs w:val="20"/>
              </w:rPr>
              <w:t>Schools should also have in place procedures to check if a vulnerable child is able to access remote education support, to support them to access it (as far as possible) and to regularly check if they are doing so.</w:t>
            </w:r>
          </w:p>
          <w:p w14:paraId="53A2DC45" w14:textId="77777777" w:rsidR="00A83183" w:rsidRPr="00CE4765" w:rsidRDefault="00A83183" w:rsidP="00BC2E97">
            <w:pPr>
              <w:rPr>
                <w:sz w:val="22"/>
                <w:szCs w:val="20"/>
              </w:rPr>
            </w:pPr>
          </w:p>
        </w:tc>
      </w:tr>
      <w:tr w:rsidR="00ED0ADB" w:rsidRPr="00CF1434" w14:paraId="6B8CE7A0" w14:textId="77777777" w:rsidTr="00345E5D">
        <w:tc>
          <w:tcPr>
            <w:tcW w:w="1604" w:type="dxa"/>
            <w:gridSpan w:val="2"/>
            <w:tcBorders>
              <w:bottom w:val="single" w:sz="4" w:space="0" w:color="auto"/>
            </w:tcBorders>
            <w:shd w:val="clear" w:color="auto" w:fill="CCC0D9" w:themeFill="accent4" w:themeFillTint="66"/>
          </w:tcPr>
          <w:p w14:paraId="213278AC" w14:textId="77777777" w:rsidR="00ED0ADB" w:rsidRPr="00CE4765" w:rsidRDefault="00ED0ADB" w:rsidP="00BC2E97">
            <w:pPr>
              <w:rPr>
                <w:rFonts w:cstheme="minorHAnsi"/>
                <w:b/>
                <w:bCs/>
                <w:sz w:val="22"/>
              </w:rPr>
            </w:pPr>
            <w:r w:rsidRPr="00CE4765">
              <w:rPr>
                <w:rFonts w:cstheme="minorHAnsi"/>
                <w:b/>
                <w:bCs/>
                <w:sz w:val="22"/>
              </w:rPr>
              <w:lastRenderedPageBreak/>
              <w:t>Catch Up</w:t>
            </w:r>
          </w:p>
        </w:tc>
        <w:tc>
          <w:tcPr>
            <w:tcW w:w="12708" w:type="dxa"/>
            <w:tcBorders>
              <w:bottom w:val="single" w:sz="4" w:space="0" w:color="auto"/>
            </w:tcBorders>
          </w:tcPr>
          <w:p w14:paraId="284C291D" w14:textId="19F7CAB4" w:rsidR="00ED0ADB" w:rsidRDefault="00ED0ADB" w:rsidP="00BC2E97">
            <w:pPr>
              <w:rPr>
                <w:sz w:val="22"/>
                <w:szCs w:val="20"/>
              </w:rPr>
            </w:pPr>
            <w:r w:rsidRPr="00CE4765">
              <w:rPr>
                <w:sz w:val="22"/>
                <w:szCs w:val="20"/>
              </w:rPr>
              <w:t xml:space="preserve">We recognise that it may be challenging for schools to deliver effective catch-up support during periods when COVID-19 restrictions impact their normal operating procedures. Schools can continue to offer NTP tuition as arranged with Tuition Partners - </w:t>
            </w:r>
            <w:proofErr w:type="gramStart"/>
            <w:r w:rsidRPr="00CE4765">
              <w:rPr>
                <w:sz w:val="22"/>
                <w:szCs w:val="20"/>
              </w:rPr>
              <w:t>the majority of</w:t>
            </w:r>
            <w:proofErr w:type="gramEnd"/>
            <w:r w:rsidRPr="00CE4765">
              <w:rPr>
                <w:sz w:val="22"/>
                <w:szCs w:val="20"/>
              </w:rPr>
              <w:t xml:space="preserve"> tuition partners are already in a position to offer online tuition at home – and the Academic Mentor programme will also continue with mentors working online in line with individual school policies. </w:t>
            </w:r>
          </w:p>
          <w:p w14:paraId="0CD21415" w14:textId="77777777" w:rsidR="00ED0ADB" w:rsidRDefault="00ED0ADB" w:rsidP="00BC2E97">
            <w:pPr>
              <w:rPr>
                <w:sz w:val="22"/>
                <w:szCs w:val="20"/>
              </w:rPr>
            </w:pPr>
          </w:p>
          <w:p w14:paraId="7259153C" w14:textId="77777777" w:rsidR="00ED0ADB" w:rsidRDefault="00ED0ADB" w:rsidP="00BC2E97">
            <w:pPr>
              <w:rPr>
                <w:sz w:val="22"/>
                <w:szCs w:val="20"/>
              </w:rPr>
            </w:pPr>
            <w:r w:rsidRPr="00CE4765">
              <w:rPr>
                <w:sz w:val="22"/>
                <w:szCs w:val="20"/>
              </w:rPr>
              <w:t>Schools should also use this period to strategically plan the catch-up support required for their pupils in the next half-term.</w:t>
            </w:r>
          </w:p>
          <w:p w14:paraId="5E90940F" w14:textId="77777777" w:rsidR="00ED0ADB" w:rsidRPr="00CE4765" w:rsidRDefault="00ED0ADB" w:rsidP="00BC2E97">
            <w:pPr>
              <w:rPr>
                <w:sz w:val="22"/>
                <w:szCs w:val="20"/>
              </w:rPr>
            </w:pPr>
          </w:p>
        </w:tc>
      </w:tr>
      <w:tr w:rsidR="00345E5D" w:rsidRPr="00BC358C" w14:paraId="5CC9C9B3" w14:textId="77777777" w:rsidTr="00345E5D">
        <w:tc>
          <w:tcPr>
            <w:tcW w:w="1604" w:type="dxa"/>
            <w:gridSpan w:val="2"/>
            <w:tcBorders>
              <w:left w:val="nil"/>
              <w:right w:val="nil"/>
            </w:tcBorders>
            <w:shd w:val="clear" w:color="auto" w:fill="auto"/>
          </w:tcPr>
          <w:p w14:paraId="3F4C3D71" w14:textId="77777777" w:rsidR="00345E5D" w:rsidRPr="00BC358C" w:rsidRDefault="00345E5D" w:rsidP="00874ADD">
            <w:pPr>
              <w:rPr>
                <w:rFonts w:cstheme="minorHAnsi"/>
                <w:b/>
                <w:bCs/>
                <w:sz w:val="22"/>
              </w:rPr>
            </w:pPr>
          </w:p>
        </w:tc>
        <w:tc>
          <w:tcPr>
            <w:tcW w:w="12708" w:type="dxa"/>
            <w:tcBorders>
              <w:left w:val="nil"/>
              <w:right w:val="nil"/>
            </w:tcBorders>
            <w:shd w:val="clear" w:color="auto" w:fill="auto"/>
          </w:tcPr>
          <w:p w14:paraId="6ADDDF3B" w14:textId="77777777" w:rsidR="00345E5D" w:rsidRPr="00BC358C" w:rsidRDefault="00345E5D" w:rsidP="00345E5D">
            <w:pPr>
              <w:pStyle w:val="NormalWeb"/>
              <w:spacing w:before="0" w:beforeAutospacing="0" w:after="0" w:afterAutospacing="0"/>
              <w:ind w:left="360"/>
              <w:rPr>
                <w:rFonts w:asciiTheme="minorHAnsi" w:hAnsiTheme="minorHAnsi" w:cstheme="minorHAnsi"/>
                <w:color w:val="0B0C0C"/>
              </w:rPr>
            </w:pPr>
          </w:p>
        </w:tc>
      </w:tr>
      <w:tr w:rsidR="00B703FB" w:rsidRPr="00BC358C" w14:paraId="49611C1D" w14:textId="77777777" w:rsidTr="00345E5D">
        <w:tc>
          <w:tcPr>
            <w:tcW w:w="1604" w:type="dxa"/>
            <w:gridSpan w:val="2"/>
            <w:shd w:val="clear" w:color="auto" w:fill="C6D9F1" w:themeFill="text2" w:themeFillTint="33"/>
          </w:tcPr>
          <w:p w14:paraId="62A46AD7" w14:textId="77777777" w:rsidR="00B703FB" w:rsidRPr="00BC358C" w:rsidRDefault="00B703FB" w:rsidP="00874ADD">
            <w:pPr>
              <w:rPr>
                <w:rFonts w:cstheme="minorHAnsi"/>
                <w:b/>
                <w:bCs/>
                <w:sz w:val="22"/>
              </w:rPr>
            </w:pPr>
            <w:r w:rsidRPr="00BC358C">
              <w:rPr>
                <w:rFonts w:cstheme="minorHAnsi"/>
                <w:b/>
                <w:bCs/>
                <w:sz w:val="22"/>
              </w:rPr>
              <w:t>Testing</w:t>
            </w:r>
          </w:p>
        </w:tc>
        <w:tc>
          <w:tcPr>
            <w:tcW w:w="12708" w:type="dxa"/>
          </w:tcPr>
          <w:p w14:paraId="58A3948B" w14:textId="77777777" w:rsidR="00B703FB" w:rsidRPr="00BC358C" w:rsidRDefault="00B703FB" w:rsidP="00874ADD">
            <w:pPr>
              <w:pStyle w:val="NormalWeb"/>
              <w:numPr>
                <w:ilvl w:val="0"/>
                <w:numId w:val="4"/>
              </w:numPr>
              <w:spacing w:before="0" w:beforeAutospacing="0" w:after="0" w:afterAutospacing="0"/>
              <w:rPr>
                <w:rFonts w:asciiTheme="minorHAnsi" w:hAnsiTheme="minorHAnsi" w:cstheme="minorHAnsi"/>
                <w:color w:val="0B0C0C"/>
              </w:rPr>
            </w:pPr>
            <w:r w:rsidRPr="00BC358C">
              <w:rPr>
                <w:rFonts w:asciiTheme="minorHAnsi" w:hAnsiTheme="minorHAnsi" w:cstheme="minorHAnsi"/>
                <w:color w:val="0B0C0C"/>
              </w:rPr>
              <w:t xml:space="preserve">The coronavirus (COVID-19) testing programme should be continued to enable weekly testing for staff and daily close contact testing for those staff and pupils attending secondary schools and colleges. </w:t>
            </w:r>
          </w:p>
          <w:p w14:paraId="16867B8E" w14:textId="77777777" w:rsidR="00B703FB" w:rsidRPr="00BC358C" w:rsidRDefault="00B703FB" w:rsidP="00874ADD">
            <w:pPr>
              <w:pStyle w:val="Heading2"/>
              <w:numPr>
                <w:ilvl w:val="0"/>
                <w:numId w:val="4"/>
              </w:numPr>
              <w:spacing w:before="0"/>
              <w:rPr>
                <w:rFonts w:asciiTheme="minorHAnsi" w:eastAsia="Times New Roman" w:hAnsiTheme="minorHAnsi" w:cstheme="minorHAnsi"/>
                <w:color w:val="0B0C0C"/>
                <w:sz w:val="22"/>
                <w:szCs w:val="22"/>
              </w:rPr>
            </w:pPr>
            <w:r w:rsidRPr="00BC358C">
              <w:rPr>
                <w:rFonts w:asciiTheme="minorHAnsi" w:eastAsia="Times New Roman" w:hAnsiTheme="minorHAnsi" w:cstheme="minorHAnsi"/>
                <w:color w:val="0B0C0C"/>
                <w:sz w:val="22"/>
                <w:szCs w:val="22"/>
              </w:rPr>
              <w:t xml:space="preserve">Register a team leader for your secondary school or college rapid coronavirus (COVID-19) test site. </w:t>
            </w:r>
            <w:r w:rsidRPr="00BC358C">
              <w:rPr>
                <w:rFonts w:asciiTheme="minorHAnsi" w:hAnsiTheme="minorHAnsi" w:cstheme="minorHAnsi"/>
                <w:color w:val="0B0C0C"/>
                <w:sz w:val="22"/>
                <w:szCs w:val="22"/>
              </w:rPr>
              <w:t xml:space="preserve">Team leaders are responsible for the overall on-site operations at the test site. Secondary schools and colleges will need at least one team leader to run a test site. We recommend that each test site has 2 team leaders as this will ensure that cover is available if someone is ill. </w:t>
            </w:r>
          </w:p>
          <w:p w14:paraId="72112E5C" w14:textId="597ECBF1" w:rsidR="00B703FB" w:rsidRDefault="00B703FB" w:rsidP="00874ADD">
            <w:pPr>
              <w:pStyle w:val="NormalWeb"/>
              <w:numPr>
                <w:ilvl w:val="0"/>
                <w:numId w:val="4"/>
              </w:numPr>
              <w:spacing w:before="0" w:beforeAutospacing="0" w:after="0" w:afterAutospacing="0"/>
              <w:rPr>
                <w:rFonts w:asciiTheme="minorHAnsi" w:hAnsiTheme="minorHAnsi" w:cstheme="minorHAnsi"/>
                <w:color w:val="0B0C0C"/>
              </w:rPr>
            </w:pPr>
            <w:r w:rsidRPr="00BC358C">
              <w:rPr>
                <w:rFonts w:asciiTheme="minorHAnsi" w:hAnsiTheme="minorHAnsi" w:cstheme="minorHAnsi"/>
                <w:color w:val="0B0C0C"/>
              </w:rPr>
              <w:t xml:space="preserve">Please complete the registration form to </w:t>
            </w:r>
            <w:hyperlink r:id="rId16" w:history="1">
              <w:r w:rsidRPr="00653383">
                <w:rPr>
                  <w:rStyle w:val="Hyperlink"/>
                  <w:rFonts w:cstheme="minorBidi"/>
                </w:rPr>
                <w:t>register a team leader</w:t>
              </w:r>
            </w:hyperlink>
            <w:r w:rsidRPr="00653383">
              <w:rPr>
                <w:rStyle w:val="Hyperlink"/>
                <w:rFonts w:cstheme="minorBidi"/>
              </w:rPr>
              <w:t>.</w:t>
            </w:r>
            <w:r w:rsidRPr="00BC358C">
              <w:rPr>
                <w:rFonts w:asciiTheme="minorHAnsi" w:hAnsiTheme="minorHAnsi" w:cstheme="minorHAnsi"/>
                <w:color w:val="0B0C0C"/>
              </w:rPr>
              <w:t xml:space="preserve"> </w:t>
            </w:r>
          </w:p>
          <w:p w14:paraId="70F495A4" w14:textId="063C9A42" w:rsidR="001E6782" w:rsidRPr="00653383" w:rsidRDefault="001E6782" w:rsidP="001E6782">
            <w:pPr>
              <w:pStyle w:val="Heading2"/>
              <w:numPr>
                <w:ilvl w:val="0"/>
                <w:numId w:val="4"/>
              </w:numPr>
              <w:spacing w:before="0"/>
              <w:rPr>
                <w:rStyle w:val="Hyperlink"/>
                <w:rFonts w:eastAsiaTheme="minorHAnsi" w:cstheme="minorBidi"/>
                <w:sz w:val="22"/>
                <w:szCs w:val="22"/>
                <w:lang w:eastAsia="en-GB"/>
              </w:rPr>
            </w:pPr>
            <w:r w:rsidRPr="001E6782">
              <w:rPr>
                <w:color w:val="0B0C0C"/>
                <w:sz w:val="22"/>
                <w:szCs w:val="22"/>
              </w:rPr>
              <w:t>U</w:t>
            </w:r>
            <w:r w:rsidRPr="001E6782">
              <w:rPr>
                <w:rFonts w:asciiTheme="minorHAnsi" w:hAnsiTheme="minorHAnsi"/>
                <w:color w:val="0B0C0C"/>
                <w:sz w:val="22"/>
                <w:szCs w:val="22"/>
              </w:rPr>
              <w:t>pdated Guidance</w:t>
            </w:r>
            <w:r>
              <w:rPr>
                <w:rStyle w:val="Hyperlink"/>
                <w:rFonts w:cstheme="minorHAnsi"/>
                <w:color w:val="1D70B8"/>
                <w:lang w:eastAsia="en-GB"/>
              </w:rPr>
              <w:t xml:space="preserve">: </w:t>
            </w:r>
            <w:hyperlink r:id="rId17" w:history="1">
              <w:r w:rsidRPr="00653383">
                <w:rPr>
                  <w:rStyle w:val="Hyperlink"/>
                  <w:rFonts w:eastAsiaTheme="minorHAnsi" w:cstheme="minorBidi"/>
                  <w:sz w:val="22"/>
                  <w:szCs w:val="22"/>
                  <w:lang w:eastAsia="en-GB"/>
                </w:rPr>
                <w:t>Mass asymptomatic testing: schools and colleges</w:t>
              </w:r>
            </w:hyperlink>
          </w:p>
          <w:p w14:paraId="5DF69032" w14:textId="5706AD2C" w:rsidR="00D74F3F" w:rsidRPr="00D74F3F" w:rsidRDefault="00A43C33" w:rsidP="00D74F3F">
            <w:pPr>
              <w:pStyle w:val="ListParagraph"/>
              <w:numPr>
                <w:ilvl w:val="0"/>
                <w:numId w:val="4"/>
              </w:numPr>
              <w:rPr>
                <w:lang w:eastAsia="en-GB"/>
              </w:rPr>
            </w:pPr>
            <w:hyperlink r:id="rId18" w:history="1">
              <w:r w:rsidR="00D74F3F" w:rsidRPr="00653383">
                <w:rPr>
                  <w:rStyle w:val="Hyperlink"/>
                  <w:rFonts w:ascii="Calibri" w:hAnsi="Calibri"/>
                  <w:sz w:val="22"/>
                  <w:lang w:eastAsia="en-GB"/>
                </w:rPr>
                <w:t>Schools and colleges testing handbook</w:t>
              </w:r>
            </w:hyperlink>
            <w:r w:rsidR="00D74F3F" w:rsidRPr="00D74F3F">
              <w:rPr>
                <w:rFonts w:cstheme="minorHAnsi"/>
                <w:color w:val="0B0C0C"/>
                <w:sz w:val="22"/>
                <w:shd w:val="clear" w:color="auto" w:fill="FFFFFF"/>
              </w:rPr>
              <w:t> can be downloaded here</w:t>
            </w:r>
          </w:p>
          <w:p w14:paraId="403EAF02" w14:textId="02257549" w:rsidR="00BC358C" w:rsidRPr="00BC358C" w:rsidRDefault="00BC358C" w:rsidP="001E6782">
            <w:pPr>
              <w:pStyle w:val="NormalWeb"/>
              <w:spacing w:before="0" w:beforeAutospacing="0" w:after="0" w:afterAutospacing="0"/>
              <w:rPr>
                <w:rFonts w:asciiTheme="minorHAnsi" w:hAnsiTheme="minorHAnsi" w:cstheme="minorHAnsi"/>
                <w:color w:val="0B0C0C"/>
              </w:rPr>
            </w:pPr>
          </w:p>
        </w:tc>
      </w:tr>
      <w:tr w:rsidR="00B703FB" w:rsidRPr="00BC358C" w14:paraId="69F4B12D" w14:textId="77777777" w:rsidTr="00345E5D">
        <w:tc>
          <w:tcPr>
            <w:tcW w:w="1604" w:type="dxa"/>
            <w:gridSpan w:val="2"/>
            <w:tcBorders>
              <w:bottom w:val="single" w:sz="4" w:space="0" w:color="auto"/>
            </w:tcBorders>
            <w:shd w:val="clear" w:color="auto" w:fill="C6D9F1" w:themeFill="text2" w:themeFillTint="33"/>
          </w:tcPr>
          <w:p w14:paraId="2D8065A5" w14:textId="77777777" w:rsidR="00B703FB" w:rsidRPr="00BC358C" w:rsidRDefault="00B703FB" w:rsidP="00874ADD">
            <w:pPr>
              <w:pStyle w:val="Heading2"/>
              <w:spacing w:before="0"/>
              <w:rPr>
                <w:rFonts w:asciiTheme="minorHAnsi" w:eastAsia="Times New Roman" w:hAnsiTheme="minorHAnsi" w:cstheme="minorHAnsi"/>
                <w:b/>
                <w:bCs/>
                <w:color w:val="0B0C0C"/>
                <w:sz w:val="22"/>
                <w:szCs w:val="22"/>
              </w:rPr>
            </w:pPr>
            <w:r w:rsidRPr="00BC358C">
              <w:rPr>
                <w:rFonts w:asciiTheme="minorHAnsi" w:eastAsia="Times New Roman" w:hAnsiTheme="minorHAnsi" w:cstheme="minorHAnsi"/>
                <w:b/>
                <w:bCs/>
                <w:color w:val="0B0C0C"/>
                <w:sz w:val="22"/>
                <w:szCs w:val="22"/>
              </w:rPr>
              <w:lastRenderedPageBreak/>
              <w:t>Delivery of lateral flow test kits</w:t>
            </w:r>
          </w:p>
          <w:p w14:paraId="31C82E01" w14:textId="77777777" w:rsidR="00B703FB" w:rsidRPr="00BC358C" w:rsidRDefault="00B703FB" w:rsidP="00874ADD">
            <w:pPr>
              <w:rPr>
                <w:rFonts w:cstheme="minorHAnsi"/>
                <w:b/>
                <w:bCs/>
                <w:sz w:val="22"/>
              </w:rPr>
            </w:pPr>
          </w:p>
        </w:tc>
        <w:tc>
          <w:tcPr>
            <w:tcW w:w="12708" w:type="dxa"/>
            <w:tcBorders>
              <w:bottom w:val="single" w:sz="4" w:space="0" w:color="auto"/>
            </w:tcBorders>
          </w:tcPr>
          <w:p w14:paraId="6799A5A4" w14:textId="77777777" w:rsidR="00B703FB" w:rsidRPr="00BC358C" w:rsidRDefault="00B703FB" w:rsidP="00874ADD">
            <w:pPr>
              <w:pStyle w:val="NormalWeb"/>
              <w:numPr>
                <w:ilvl w:val="0"/>
                <w:numId w:val="5"/>
              </w:numPr>
              <w:spacing w:before="0" w:beforeAutospacing="0" w:after="0" w:afterAutospacing="0"/>
              <w:rPr>
                <w:rFonts w:asciiTheme="minorHAnsi" w:hAnsiTheme="minorHAnsi" w:cstheme="minorHAnsi"/>
                <w:color w:val="0B0C0C"/>
              </w:rPr>
            </w:pPr>
            <w:r w:rsidRPr="00BC358C">
              <w:rPr>
                <w:rFonts w:asciiTheme="minorHAnsi" w:hAnsiTheme="minorHAnsi" w:cstheme="minorHAnsi"/>
                <w:color w:val="0B0C0C"/>
              </w:rPr>
              <w:t xml:space="preserve">All schools with secondary-age pupils will receive an initial delivery of lateral flow device test kits to support asymptomatic testing from the start of the spring term. </w:t>
            </w:r>
          </w:p>
          <w:p w14:paraId="0C747726" w14:textId="77777777" w:rsidR="00B703FB" w:rsidRPr="00BC358C" w:rsidRDefault="00B703FB" w:rsidP="00874ADD">
            <w:pPr>
              <w:pStyle w:val="NormalWeb"/>
              <w:numPr>
                <w:ilvl w:val="0"/>
                <w:numId w:val="5"/>
              </w:numPr>
              <w:spacing w:before="0" w:beforeAutospacing="0" w:after="0" w:afterAutospacing="0"/>
              <w:rPr>
                <w:rFonts w:asciiTheme="minorHAnsi" w:hAnsiTheme="minorHAnsi" w:cstheme="minorHAnsi"/>
                <w:color w:val="0B0C0C"/>
              </w:rPr>
            </w:pPr>
            <w:r w:rsidRPr="00BC358C">
              <w:rPr>
                <w:rFonts w:asciiTheme="minorHAnsi" w:hAnsiTheme="minorHAnsi" w:cstheme="minorHAnsi"/>
                <w:color w:val="0B0C0C"/>
              </w:rPr>
              <w:t xml:space="preserve">If you have not received your initial delivery or have missing or damaged items, please complete </w:t>
            </w:r>
            <w:r w:rsidRPr="00653383">
              <w:rPr>
                <w:rStyle w:val="Hyperlink"/>
                <w:rFonts w:cstheme="minorBidi"/>
              </w:rPr>
              <w:t xml:space="preserve">the </w:t>
            </w:r>
            <w:hyperlink r:id="rId19" w:history="1">
              <w:r w:rsidRPr="00653383">
                <w:rPr>
                  <w:rStyle w:val="Hyperlink"/>
                  <w:rFonts w:cstheme="minorBidi"/>
                </w:rPr>
                <w:t>contact us form</w:t>
              </w:r>
            </w:hyperlink>
            <w:r w:rsidRPr="00BC358C">
              <w:rPr>
                <w:rFonts w:asciiTheme="minorHAnsi" w:hAnsiTheme="minorHAnsi" w:cstheme="minorHAnsi"/>
                <w:color w:val="0B0C0C"/>
              </w:rPr>
              <w:t xml:space="preserve">. You will need the URN for your school or college to complete this form. </w:t>
            </w:r>
          </w:p>
          <w:p w14:paraId="6B0B95DD" w14:textId="77777777" w:rsidR="00B703FB" w:rsidRPr="00BC358C" w:rsidRDefault="00B703FB" w:rsidP="00874ADD">
            <w:pPr>
              <w:pStyle w:val="NormalWeb"/>
              <w:numPr>
                <w:ilvl w:val="0"/>
                <w:numId w:val="5"/>
              </w:numPr>
              <w:spacing w:before="0" w:beforeAutospacing="0" w:after="0" w:afterAutospacing="0"/>
              <w:rPr>
                <w:rFonts w:asciiTheme="minorHAnsi" w:hAnsiTheme="minorHAnsi" w:cstheme="minorHAnsi"/>
                <w:color w:val="0B0C0C"/>
              </w:rPr>
            </w:pPr>
            <w:r w:rsidRPr="00BC358C">
              <w:rPr>
                <w:rFonts w:asciiTheme="minorHAnsi" w:hAnsiTheme="minorHAnsi" w:cstheme="minorHAnsi"/>
                <w:color w:val="0B0C0C"/>
              </w:rPr>
              <w:t xml:space="preserve">This form can also be used to report issues related to asymptomatic testing in schools and colleges that cannot be resolved by the published guidance or by calling the DfE coronavirus helpline </w:t>
            </w:r>
          </w:p>
          <w:p w14:paraId="36812DCE" w14:textId="77777777" w:rsidR="00B703FB" w:rsidRPr="00653383" w:rsidRDefault="00B703FB" w:rsidP="00874ADD">
            <w:pPr>
              <w:pStyle w:val="NormalWeb"/>
              <w:numPr>
                <w:ilvl w:val="0"/>
                <w:numId w:val="5"/>
              </w:numPr>
              <w:spacing w:before="0" w:beforeAutospacing="0" w:after="0" w:afterAutospacing="0"/>
              <w:rPr>
                <w:rStyle w:val="Hyperlink"/>
                <w:rFonts w:cstheme="minorBidi"/>
              </w:rPr>
            </w:pPr>
            <w:r w:rsidRPr="00BC358C">
              <w:rPr>
                <w:rFonts w:asciiTheme="minorHAnsi" w:hAnsiTheme="minorHAnsi" w:cstheme="minorHAnsi"/>
                <w:color w:val="0B0C0C"/>
              </w:rPr>
              <w:t xml:space="preserve">We have uploaded plans for the delivery of test kits to all schools and colleges onto the </w:t>
            </w:r>
            <w:hyperlink r:id="rId20" w:history="1">
              <w:r w:rsidRPr="00653383">
                <w:rPr>
                  <w:rStyle w:val="Hyperlink"/>
                  <w:rFonts w:cstheme="minorBidi"/>
                </w:rPr>
                <w:t>schools and colleges document sharing platform</w:t>
              </w:r>
            </w:hyperlink>
            <w:r w:rsidRPr="00653383">
              <w:rPr>
                <w:rStyle w:val="Hyperlink"/>
                <w:rFonts w:cstheme="minorBidi"/>
              </w:rPr>
              <w:t xml:space="preserve">. </w:t>
            </w:r>
          </w:p>
          <w:p w14:paraId="28904171" w14:textId="77777777" w:rsidR="00B703FB" w:rsidRPr="00BC358C" w:rsidRDefault="00B703FB" w:rsidP="00874ADD">
            <w:pPr>
              <w:pStyle w:val="NormalWeb"/>
              <w:numPr>
                <w:ilvl w:val="0"/>
                <w:numId w:val="5"/>
              </w:numPr>
              <w:spacing w:before="0" w:beforeAutospacing="0" w:after="0" w:afterAutospacing="0"/>
              <w:rPr>
                <w:rFonts w:asciiTheme="minorHAnsi" w:hAnsiTheme="minorHAnsi" w:cstheme="minorHAnsi"/>
                <w:color w:val="0B0C0C"/>
              </w:rPr>
            </w:pPr>
            <w:r w:rsidRPr="00BC358C">
              <w:rPr>
                <w:rFonts w:asciiTheme="minorHAnsi" w:hAnsiTheme="minorHAnsi" w:cstheme="minorHAnsi"/>
                <w:color w:val="0B0C0C"/>
              </w:rPr>
              <w:t>This plan contains details of what will be in each delivery, and when you should expect to receive deliveries</w:t>
            </w:r>
            <w:r w:rsidR="00BC358C" w:rsidRPr="00BC358C">
              <w:rPr>
                <w:rFonts w:asciiTheme="minorHAnsi" w:hAnsiTheme="minorHAnsi" w:cstheme="minorHAnsi"/>
                <w:color w:val="0B0C0C"/>
              </w:rPr>
              <w:t>.</w:t>
            </w:r>
          </w:p>
          <w:p w14:paraId="14C70EAE" w14:textId="074CCE3A" w:rsidR="00BC358C" w:rsidRPr="00BC358C" w:rsidRDefault="00BC358C" w:rsidP="00BC358C">
            <w:pPr>
              <w:pStyle w:val="NormalWeb"/>
              <w:spacing w:before="0" w:beforeAutospacing="0" w:after="0" w:afterAutospacing="0"/>
              <w:ind w:left="360"/>
              <w:rPr>
                <w:rFonts w:asciiTheme="minorHAnsi" w:hAnsiTheme="minorHAnsi" w:cstheme="minorHAnsi"/>
                <w:color w:val="0B0C0C"/>
              </w:rPr>
            </w:pPr>
          </w:p>
        </w:tc>
      </w:tr>
      <w:tr w:rsidR="00345E5D" w:rsidRPr="00BC358C" w14:paraId="04E3B1CF" w14:textId="77777777" w:rsidTr="00345E5D">
        <w:tc>
          <w:tcPr>
            <w:tcW w:w="1604" w:type="dxa"/>
            <w:gridSpan w:val="2"/>
            <w:tcBorders>
              <w:left w:val="nil"/>
              <w:right w:val="nil"/>
            </w:tcBorders>
            <w:shd w:val="clear" w:color="auto" w:fill="auto"/>
          </w:tcPr>
          <w:p w14:paraId="548980D5" w14:textId="77777777" w:rsidR="00345E5D" w:rsidRPr="00BC358C" w:rsidRDefault="00345E5D" w:rsidP="00122CBC">
            <w:pPr>
              <w:rPr>
                <w:rFonts w:cstheme="minorHAnsi"/>
                <w:b/>
                <w:bCs/>
                <w:sz w:val="22"/>
              </w:rPr>
            </w:pPr>
          </w:p>
        </w:tc>
        <w:tc>
          <w:tcPr>
            <w:tcW w:w="12708" w:type="dxa"/>
            <w:tcBorders>
              <w:left w:val="nil"/>
              <w:right w:val="nil"/>
            </w:tcBorders>
            <w:shd w:val="clear" w:color="auto" w:fill="auto"/>
          </w:tcPr>
          <w:p w14:paraId="3A205182" w14:textId="77777777" w:rsidR="00345E5D" w:rsidRPr="00BC358C" w:rsidRDefault="00345E5D" w:rsidP="00345E5D">
            <w:pPr>
              <w:shd w:val="clear" w:color="auto" w:fill="FFFFFF"/>
              <w:ind w:left="360"/>
              <w:rPr>
                <w:rFonts w:eastAsia="Times New Roman" w:cstheme="minorHAnsi"/>
                <w:color w:val="0B0C0C"/>
                <w:sz w:val="22"/>
                <w:lang w:eastAsia="en-GB"/>
              </w:rPr>
            </w:pPr>
          </w:p>
        </w:tc>
      </w:tr>
      <w:tr w:rsidR="00B703FB" w:rsidRPr="00BC358C" w14:paraId="311ECE6D" w14:textId="77777777" w:rsidTr="00345E5D">
        <w:tc>
          <w:tcPr>
            <w:tcW w:w="1604" w:type="dxa"/>
            <w:gridSpan w:val="2"/>
            <w:shd w:val="clear" w:color="auto" w:fill="C6D9F1" w:themeFill="text2" w:themeFillTint="33"/>
          </w:tcPr>
          <w:p w14:paraId="02B09866" w14:textId="3E09A3F5" w:rsidR="00B703FB" w:rsidRPr="00BC358C" w:rsidRDefault="00B703FB" w:rsidP="00122CBC">
            <w:pPr>
              <w:rPr>
                <w:rFonts w:cstheme="minorHAnsi"/>
                <w:b/>
                <w:bCs/>
                <w:sz w:val="22"/>
              </w:rPr>
            </w:pPr>
            <w:bookmarkStart w:id="0" w:name="_Hlk60910950"/>
            <w:r w:rsidRPr="00BC358C">
              <w:rPr>
                <w:rFonts w:cstheme="minorHAnsi"/>
                <w:b/>
                <w:bCs/>
                <w:sz w:val="22"/>
              </w:rPr>
              <w:t>Free School Meals</w:t>
            </w:r>
            <w:r w:rsidR="00345E5D">
              <w:rPr>
                <w:rFonts w:cstheme="minorHAnsi"/>
                <w:b/>
                <w:bCs/>
                <w:sz w:val="22"/>
              </w:rPr>
              <w:t xml:space="preserve"> </w:t>
            </w:r>
          </w:p>
        </w:tc>
        <w:tc>
          <w:tcPr>
            <w:tcW w:w="12708" w:type="dxa"/>
          </w:tcPr>
          <w:p w14:paraId="6A0D49A4" w14:textId="77777777" w:rsidR="00B703FB" w:rsidRPr="00BC358C" w:rsidRDefault="00B703FB" w:rsidP="004816E5">
            <w:pPr>
              <w:numPr>
                <w:ilvl w:val="0"/>
                <w:numId w:val="2"/>
              </w:numPr>
              <w:shd w:val="clear" w:color="auto" w:fill="FFFFFF"/>
              <w:rPr>
                <w:rFonts w:eastAsia="Times New Roman" w:cstheme="minorHAnsi"/>
                <w:color w:val="0B0C0C"/>
                <w:sz w:val="22"/>
                <w:lang w:eastAsia="en-GB"/>
              </w:rPr>
            </w:pPr>
            <w:bookmarkStart w:id="1" w:name="_Hlk60904794"/>
            <w:r w:rsidRPr="00BC358C">
              <w:rPr>
                <w:rFonts w:eastAsia="Times New Roman" w:cstheme="minorHAnsi"/>
                <w:color w:val="0B0C0C"/>
                <w:sz w:val="22"/>
                <w:lang w:eastAsia="en-GB"/>
              </w:rPr>
              <w:t xml:space="preserve">Extra funding will be provided to support schools to provide food parcels or meals to eligible students. </w:t>
            </w:r>
          </w:p>
          <w:p w14:paraId="3F56D622" w14:textId="2C681080" w:rsidR="00B703FB" w:rsidRPr="00BC358C" w:rsidRDefault="00B703FB" w:rsidP="00874ADD">
            <w:pPr>
              <w:numPr>
                <w:ilvl w:val="0"/>
                <w:numId w:val="2"/>
              </w:numPr>
              <w:shd w:val="clear" w:color="auto" w:fill="FFFFFF"/>
              <w:rPr>
                <w:rFonts w:eastAsia="Times New Roman" w:cstheme="minorHAnsi"/>
                <w:color w:val="0B0C0C"/>
                <w:sz w:val="22"/>
                <w:lang w:eastAsia="en-GB"/>
              </w:rPr>
            </w:pPr>
            <w:r w:rsidRPr="00BC358C">
              <w:rPr>
                <w:rFonts w:eastAsia="Times New Roman" w:cstheme="minorHAnsi"/>
                <w:color w:val="0B0C0C"/>
                <w:sz w:val="22"/>
                <w:lang w:eastAsia="en-GB"/>
              </w:rPr>
              <w:t>The national voucher scheme will also re-open so that in the event schools cannot offer food parcels or provide an alternative local solution, every child can access free school meals while they are learning at home.</w:t>
            </w:r>
            <w:bookmarkEnd w:id="1"/>
            <w:r w:rsidRPr="00BC358C">
              <w:rPr>
                <w:rFonts w:eastAsia="Times New Roman" w:cstheme="minorHAnsi"/>
                <w:color w:val="0B0C0C"/>
                <w:sz w:val="22"/>
                <w:lang w:eastAsia="en-GB"/>
              </w:rPr>
              <w:t xml:space="preserve"> Further details to be provided shortly. </w:t>
            </w:r>
          </w:p>
          <w:p w14:paraId="2ADE6FD1" w14:textId="77777777" w:rsidR="00BC358C" w:rsidRDefault="00B703FB" w:rsidP="00BC358C">
            <w:pPr>
              <w:numPr>
                <w:ilvl w:val="0"/>
                <w:numId w:val="2"/>
              </w:numPr>
              <w:shd w:val="clear" w:color="auto" w:fill="FFFFFF"/>
              <w:spacing w:after="75"/>
              <w:rPr>
                <w:rFonts w:eastAsia="Times New Roman" w:cstheme="minorHAnsi"/>
                <w:color w:val="0B0C0C"/>
                <w:sz w:val="22"/>
                <w:lang w:eastAsia="en-GB"/>
              </w:rPr>
            </w:pPr>
            <w:r w:rsidRPr="00BC358C">
              <w:rPr>
                <w:rFonts w:eastAsia="Times New Roman" w:cstheme="minorHAnsi"/>
                <w:color w:val="0B0C0C"/>
                <w:sz w:val="22"/>
                <w:lang w:eastAsia="en-GB"/>
              </w:rPr>
              <w:t>Schools should work with their catering providers so that meals continue to be available to any eligible pupils still attending school – including all infants and those receiving benefits-related free school meals</w:t>
            </w:r>
            <w:r w:rsidR="00BC358C" w:rsidRPr="00BC358C">
              <w:rPr>
                <w:rFonts w:eastAsia="Times New Roman" w:cstheme="minorHAnsi"/>
                <w:color w:val="0B0C0C"/>
                <w:sz w:val="22"/>
                <w:lang w:eastAsia="en-GB"/>
              </w:rPr>
              <w:t>.</w:t>
            </w:r>
          </w:p>
          <w:p w14:paraId="748A5074" w14:textId="16BEA576" w:rsidR="0000628E" w:rsidRPr="00BC358C" w:rsidRDefault="0000628E" w:rsidP="0000628E">
            <w:pPr>
              <w:shd w:val="clear" w:color="auto" w:fill="FFFFFF"/>
              <w:spacing w:after="75"/>
              <w:ind w:left="360"/>
              <w:rPr>
                <w:rFonts w:eastAsia="Times New Roman" w:cstheme="minorHAnsi"/>
                <w:color w:val="0B0C0C"/>
                <w:sz w:val="22"/>
                <w:lang w:eastAsia="en-GB"/>
              </w:rPr>
            </w:pPr>
          </w:p>
        </w:tc>
      </w:tr>
      <w:tr w:rsidR="00F3415F" w:rsidRPr="00CF1434" w14:paraId="5994E9D2" w14:textId="77777777" w:rsidTr="00345E5D">
        <w:tc>
          <w:tcPr>
            <w:tcW w:w="1604" w:type="dxa"/>
            <w:gridSpan w:val="2"/>
            <w:tcBorders>
              <w:bottom w:val="single" w:sz="4" w:space="0" w:color="auto"/>
            </w:tcBorders>
            <w:shd w:val="clear" w:color="auto" w:fill="CCC0D9" w:themeFill="accent4" w:themeFillTint="66"/>
          </w:tcPr>
          <w:p w14:paraId="76F78395" w14:textId="12E3B4BD" w:rsidR="00F3415F" w:rsidRPr="00B703FB" w:rsidRDefault="00F3415F" w:rsidP="00BC2E97">
            <w:pPr>
              <w:rPr>
                <w:rFonts w:cstheme="minorHAnsi"/>
                <w:b/>
                <w:bCs/>
                <w:sz w:val="22"/>
              </w:rPr>
            </w:pPr>
            <w:r w:rsidRPr="00B703FB">
              <w:rPr>
                <w:rFonts w:cstheme="minorHAnsi"/>
                <w:b/>
                <w:bCs/>
                <w:sz w:val="22"/>
              </w:rPr>
              <w:t>Free School Meals</w:t>
            </w:r>
            <w:r w:rsidR="00345E5D">
              <w:rPr>
                <w:rFonts w:cstheme="minorHAnsi"/>
                <w:b/>
                <w:bCs/>
                <w:sz w:val="22"/>
              </w:rPr>
              <w:t xml:space="preserve"> </w:t>
            </w:r>
          </w:p>
        </w:tc>
        <w:tc>
          <w:tcPr>
            <w:tcW w:w="12708" w:type="dxa"/>
            <w:tcBorders>
              <w:bottom w:val="single" w:sz="4" w:space="0" w:color="auto"/>
            </w:tcBorders>
          </w:tcPr>
          <w:p w14:paraId="107FE4BE" w14:textId="77777777" w:rsidR="00F3415F" w:rsidRPr="00B703FB" w:rsidRDefault="00F3415F" w:rsidP="00BC2E97">
            <w:pPr>
              <w:rPr>
                <w:sz w:val="22"/>
              </w:rPr>
            </w:pPr>
            <w:r w:rsidRPr="00B703FB">
              <w:rPr>
                <w:sz w:val="22"/>
              </w:rPr>
              <w:t xml:space="preserve">Schools should continue to provide meal options for all pupils who are in school. </w:t>
            </w:r>
            <w:r>
              <w:rPr>
                <w:sz w:val="22"/>
              </w:rPr>
              <w:t xml:space="preserve"> </w:t>
            </w:r>
            <w:r w:rsidRPr="00B703FB">
              <w:rPr>
                <w:sz w:val="22"/>
              </w:rPr>
              <w:t>Meals should be available free of charge to all infant pupils and pupils who are eligible for benefits-related free school meals who are in school.</w:t>
            </w:r>
          </w:p>
          <w:p w14:paraId="1576F902" w14:textId="77777777" w:rsidR="00F3415F" w:rsidRPr="00B703FB" w:rsidRDefault="00F3415F" w:rsidP="00BC2E97">
            <w:pPr>
              <w:rPr>
                <w:sz w:val="22"/>
              </w:rPr>
            </w:pPr>
          </w:p>
          <w:p w14:paraId="103B8D1C" w14:textId="77777777" w:rsidR="00F3415F" w:rsidRPr="00B703FB" w:rsidRDefault="00F3415F" w:rsidP="00BC2E97">
            <w:pPr>
              <w:rPr>
                <w:sz w:val="22"/>
              </w:rPr>
            </w:pPr>
            <w:r w:rsidRPr="00B703FB">
              <w:rPr>
                <w:sz w:val="22"/>
              </w:rPr>
              <w:t>Schools should also continue to provide free school meal support to pupils who are eligible for benefits related free school meals and who are not attending school.</w:t>
            </w:r>
          </w:p>
          <w:p w14:paraId="57A1144E" w14:textId="77777777" w:rsidR="00F3415F" w:rsidRPr="00B703FB" w:rsidRDefault="00F3415F" w:rsidP="00BC2E97">
            <w:pPr>
              <w:rPr>
                <w:sz w:val="22"/>
              </w:rPr>
            </w:pPr>
          </w:p>
        </w:tc>
      </w:tr>
      <w:tr w:rsidR="00345E5D" w:rsidRPr="00BC358C" w14:paraId="42106A43" w14:textId="77777777" w:rsidTr="00345E5D">
        <w:tc>
          <w:tcPr>
            <w:tcW w:w="1604" w:type="dxa"/>
            <w:gridSpan w:val="2"/>
            <w:tcBorders>
              <w:left w:val="nil"/>
              <w:right w:val="nil"/>
            </w:tcBorders>
            <w:shd w:val="clear" w:color="auto" w:fill="auto"/>
          </w:tcPr>
          <w:p w14:paraId="5AC6985E" w14:textId="77777777" w:rsidR="00345E5D" w:rsidRPr="00BC358C" w:rsidRDefault="00345E5D" w:rsidP="0070172D">
            <w:pPr>
              <w:rPr>
                <w:rFonts w:cstheme="minorHAnsi"/>
                <w:b/>
                <w:bCs/>
                <w:sz w:val="22"/>
              </w:rPr>
            </w:pPr>
          </w:p>
        </w:tc>
        <w:tc>
          <w:tcPr>
            <w:tcW w:w="12708" w:type="dxa"/>
            <w:tcBorders>
              <w:left w:val="nil"/>
              <w:right w:val="nil"/>
            </w:tcBorders>
            <w:shd w:val="clear" w:color="auto" w:fill="auto"/>
          </w:tcPr>
          <w:p w14:paraId="0FD03866" w14:textId="77777777" w:rsidR="00345E5D" w:rsidRDefault="00345E5D" w:rsidP="00345E5D">
            <w:pPr>
              <w:pStyle w:val="NormalWeb"/>
              <w:spacing w:before="0" w:beforeAutospacing="0" w:after="0" w:afterAutospacing="0"/>
              <w:ind w:left="360"/>
              <w:rPr>
                <w:rFonts w:asciiTheme="minorHAnsi" w:hAnsiTheme="minorHAnsi" w:cstheme="minorHAnsi"/>
                <w:color w:val="0B0C0C"/>
              </w:rPr>
            </w:pPr>
          </w:p>
        </w:tc>
      </w:tr>
      <w:bookmarkEnd w:id="0"/>
      <w:tr w:rsidR="0070172D" w:rsidRPr="00BC358C" w14:paraId="45286A11" w14:textId="77777777" w:rsidTr="00345E5D">
        <w:tc>
          <w:tcPr>
            <w:tcW w:w="1604" w:type="dxa"/>
            <w:gridSpan w:val="2"/>
            <w:shd w:val="clear" w:color="auto" w:fill="C6D9F1" w:themeFill="text2" w:themeFillTint="33"/>
          </w:tcPr>
          <w:p w14:paraId="3FA323DB" w14:textId="1FAEEA67" w:rsidR="0070172D" w:rsidRPr="00BC358C" w:rsidRDefault="0070172D" w:rsidP="0070172D">
            <w:pPr>
              <w:rPr>
                <w:rFonts w:cstheme="minorHAnsi"/>
                <w:b/>
                <w:bCs/>
                <w:sz w:val="22"/>
              </w:rPr>
            </w:pPr>
            <w:r w:rsidRPr="00BC358C">
              <w:rPr>
                <w:rFonts w:cstheme="minorHAnsi"/>
                <w:b/>
                <w:bCs/>
                <w:sz w:val="22"/>
              </w:rPr>
              <w:t>GCSEs, AS and A Levels</w:t>
            </w:r>
          </w:p>
        </w:tc>
        <w:tc>
          <w:tcPr>
            <w:tcW w:w="12708" w:type="dxa"/>
          </w:tcPr>
          <w:p w14:paraId="14633861" w14:textId="77777777" w:rsidR="0070172D" w:rsidRPr="00BC358C" w:rsidRDefault="0070172D" w:rsidP="0070172D">
            <w:pPr>
              <w:pStyle w:val="NormalWeb"/>
              <w:numPr>
                <w:ilvl w:val="0"/>
                <w:numId w:val="1"/>
              </w:numPr>
              <w:spacing w:before="0" w:beforeAutospacing="0" w:after="0" w:afterAutospacing="0"/>
              <w:rPr>
                <w:rFonts w:asciiTheme="minorHAnsi" w:hAnsiTheme="minorHAnsi" w:cstheme="minorHAnsi"/>
                <w:color w:val="0B0C0C"/>
              </w:rPr>
            </w:pPr>
            <w:r>
              <w:rPr>
                <w:rFonts w:asciiTheme="minorHAnsi" w:hAnsiTheme="minorHAnsi" w:cstheme="minorHAnsi"/>
                <w:color w:val="0B0C0C"/>
              </w:rPr>
              <w:t>GCSEs. A and AS levels will not go ahead this summer as planned</w:t>
            </w:r>
          </w:p>
          <w:p w14:paraId="3D76953D" w14:textId="77777777" w:rsidR="0070172D" w:rsidRPr="00BC358C" w:rsidRDefault="0070172D" w:rsidP="0070172D">
            <w:pPr>
              <w:pStyle w:val="NormalWeb"/>
              <w:numPr>
                <w:ilvl w:val="0"/>
                <w:numId w:val="1"/>
              </w:numPr>
              <w:spacing w:before="0" w:beforeAutospacing="0" w:after="0" w:afterAutospacing="0"/>
              <w:rPr>
                <w:rFonts w:asciiTheme="minorHAnsi" w:hAnsiTheme="minorHAnsi" w:cstheme="minorHAnsi"/>
                <w:color w:val="0B0C0C"/>
              </w:rPr>
            </w:pPr>
            <w:proofErr w:type="spellStart"/>
            <w:r w:rsidRPr="00BC358C">
              <w:rPr>
                <w:rFonts w:asciiTheme="minorHAnsi" w:eastAsia="Times New Roman" w:hAnsiTheme="minorHAnsi" w:cstheme="minorHAnsi"/>
                <w:color w:val="0B0C0C"/>
              </w:rPr>
              <w:t>Ofqual</w:t>
            </w:r>
            <w:proofErr w:type="spellEnd"/>
            <w:r w:rsidRPr="00BC358C">
              <w:rPr>
                <w:rFonts w:asciiTheme="minorHAnsi" w:eastAsia="Times New Roman" w:hAnsiTheme="minorHAnsi" w:cstheme="minorHAnsi"/>
                <w:color w:val="0B0C0C"/>
              </w:rPr>
              <w:t xml:space="preserve"> will launch a consultation with DfE on the options for alternatives to the exams </w:t>
            </w:r>
          </w:p>
          <w:p w14:paraId="09482140" w14:textId="77777777" w:rsidR="0070172D" w:rsidRPr="00BC358C" w:rsidRDefault="0070172D" w:rsidP="0070172D">
            <w:pPr>
              <w:pStyle w:val="NormalWeb"/>
              <w:numPr>
                <w:ilvl w:val="0"/>
                <w:numId w:val="1"/>
              </w:numPr>
              <w:spacing w:before="0" w:beforeAutospacing="0" w:after="0" w:afterAutospacing="0"/>
              <w:rPr>
                <w:rFonts w:asciiTheme="minorHAnsi" w:hAnsiTheme="minorHAnsi" w:cstheme="minorHAnsi"/>
                <w:color w:val="0B0C0C"/>
              </w:rPr>
            </w:pPr>
            <w:r w:rsidRPr="00BC358C">
              <w:rPr>
                <w:rFonts w:asciiTheme="minorHAnsi" w:eastAsia="Times New Roman" w:hAnsiTheme="minorHAnsi" w:cstheme="minorHAnsi"/>
                <w:color w:val="0B0C0C"/>
              </w:rPr>
              <w:t>The expectation that teacher assessment will be used.</w:t>
            </w:r>
          </w:p>
          <w:p w14:paraId="2F3050CB" w14:textId="77777777" w:rsidR="0070172D" w:rsidRPr="00BC358C" w:rsidRDefault="0070172D" w:rsidP="0070172D">
            <w:pPr>
              <w:pStyle w:val="NormalWeb"/>
              <w:numPr>
                <w:ilvl w:val="0"/>
                <w:numId w:val="1"/>
              </w:numPr>
              <w:spacing w:before="0" w:beforeAutospacing="0" w:after="0" w:afterAutospacing="0"/>
              <w:rPr>
                <w:rFonts w:asciiTheme="minorHAnsi" w:hAnsiTheme="minorHAnsi" w:cstheme="minorHAnsi"/>
                <w:color w:val="0B0C0C"/>
              </w:rPr>
            </w:pPr>
            <w:r w:rsidRPr="00BC358C">
              <w:rPr>
                <w:rFonts w:asciiTheme="minorHAnsi" w:eastAsia="Times New Roman" w:hAnsiTheme="minorHAnsi" w:cstheme="minorHAnsi"/>
                <w:color w:val="0B0C0C"/>
              </w:rPr>
              <w:t>Training and support to be provided to ensure grades are awarded fairly and consistently</w:t>
            </w:r>
          </w:p>
          <w:p w14:paraId="70A35608" w14:textId="77777777" w:rsidR="0070172D" w:rsidRPr="00BC358C" w:rsidRDefault="0070172D" w:rsidP="0070172D">
            <w:pPr>
              <w:pStyle w:val="NormalWeb"/>
              <w:spacing w:before="0" w:beforeAutospacing="0" w:after="0" w:afterAutospacing="0"/>
              <w:ind w:left="360"/>
              <w:rPr>
                <w:rFonts w:asciiTheme="minorHAnsi" w:eastAsia="Times New Roman" w:hAnsiTheme="minorHAnsi" w:cstheme="minorHAnsi"/>
                <w:color w:val="0B0C0C"/>
              </w:rPr>
            </w:pPr>
          </w:p>
        </w:tc>
      </w:tr>
      <w:tr w:rsidR="0070172D" w:rsidRPr="00BC358C" w14:paraId="5E22B464" w14:textId="77777777" w:rsidTr="00345E5D">
        <w:tc>
          <w:tcPr>
            <w:tcW w:w="1604" w:type="dxa"/>
            <w:gridSpan w:val="2"/>
            <w:shd w:val="clear" w:color="auto" w:fill="C6D9F1" w:themeFill="text2" w:themeFillTint="33"/>
          </w:tcPr>
          <w:p w14:paraId="6B984C97" w14:textId="77777777" w:rsidR="0070172D" w:rsidRPr="00BC358C" w:rsidRDefault="0070172D" w:rsidP="0070172D">
            <w:pPr>
              <w:pStyle w:val="Heading2"/>
              <w:spacing w:before="0"/>
              <w:rPr>
                <w:rFonts w:asciiTheme="minorHAnsi" w:eastAsia="Times New Roman" w:hAnsiTheme="minorHAnsi" w:cstheme="minorHAnsi"/>
                <w:b/>
                <w:bCs/>
                <w:color w:val="0B0C0C"/>
                <w:sz w:val="22"/>
                <w:szCs w:val="22"/>
              </w:rPr>
            </w:pPr>
            <w:r w:rsidRPr="00BC358C">
              <w:rPr>
                <w:rFonts w:asciiTheme="minorHAnsi" w:eastAsia="Times New Roman" w:hAnsiTheme="minorHAnsi" w:cstheme="minorHAnsi"/>
                <w:b/>
                <w:bCs/>
                <w:color w:val="0B0C0C"/>
                <w:sz w:val="22"/>
                <w:szCs w:val="22"/>
              </w:rPr>
              <w:lastRenderedPageBreak/>
              <w:t>Vocational and technical qualifications (VTQs)</w:t>
            </w:r>
          </w:p>
          <w:p w14:paraId="13E25B98" w14:textId="77777777" w:rsidR="0070172D" w:rsidRPr="00BC358C" w:rsidRDefault="0070172D" w:rsidP="0070172D">
            <w:pPr>
              <w:rPr>
                <w:rFonts w:cstheme="minorHAnsi"/>
                <w:b/>
                <w:bCs/>
                <w:sz w:val="22"/>
              </w:rPr>
            </w:pPr>
          </w:p>
        </w:tc>
        <w:tc>
          <w:tcPr>
            <w:tcW w:w="12708" w:type="dxa"/>
          </w:tcPr>
          <w:p w14:paraId="4CBF3CAF" w14:textId="77777777" w:rsidR="0070172D" w:rsidRPr="00BC358C" w:rsidRDefault="0070172D" w:rsidP="0070172D">
            <w:pPr>
              <w:pStyle w:val="NormalWeb"/>
              <w:numPr>
                <w:ilvl w:val="0"/>
                <w:numId w:val="2"/>
              </w:numPr>
              <w:spacing w:before="0" w:beforeAutospacing="0" w:after="0" w:afterAutospacing="0"/>
              <w:rPr>
                <w:rFonts w:asciiTheme="minorHAnsi" w:hAnsiTheme="minorHAnsi" w:cstheme="minorHAnsi"/>
                <w:color w:val="0B0C0C"/>
              </w:rPr>
            </w:pPr>
            <w:r w:rsidRPr="00BC358C">
              <w:rPr>
                <w:rFonts w:asciiTheme="minorHAnsi" w:hAnsiTheme="minorHAnsi" w:cstheme="minorHAnsi"/>
                <w:color w:val="0B0C0C"/>
              </w:rPr>
              <w:t>Schools and colleges can continue with the vocational and technical exams that are due to take place in January, where they judge it right to do so.</w:t>
            </w:r>
          </w:p>
          <w:p w14:paraId="5F87DAEA" w14:textId="77777777" w:rsidR="0070172D" w:rsidRPr="00BC358C" w:rsidRDefault="0070172D" w:rsidP="0070172D">
            <w:pPr>
              <w:pStyle w:val="NormalWeb"/>
              <w:numPr>
                <w:ilvl w:val="0"/>
                <w:numId w:val="2"/>
              </w:numPr>
              <w:spacing w:before="0" w:beforeAutospacing="0" w:after="0" w:afterAutospacing="0"/>
              <w:rPr>
                <w:rFonts w:asciiTheme="minorHAnsi" w:hAnsiTheme="minorHAnsi" w:cstheme="minorHAnsi"/>
              </w:rPr>
            </w:pPr>
            <w:r w:rsidRPr="00BC358C">
              <w:rPr>
                <w:rFonts w:asciiTheme="minorHAnsi" w:hAnsiTheme="minorHAnsi" w:cstheme="minorHAnsi"/>
                <w:color w:val="0B0C0C"/>
              </w:rPr>
              <w:t>This may be particularly important for VTQs which require a ‘license to practice’ which can only be fulfilled through practical assessment</w:t>
            </w:r>
          </w:p>
          <w:p w14:paraId="79E63EF0" w14:textId="77777777" w:rsidR="0070172D" w:rsidRPr="00BC358C" w:rsidRDefault="0070172D" w:rsidP="0070172D">
            <w:pPr>
              <w:pStyle w:val="NormalWeb"/>
              <w:numPr>
                <w:ilvl w:val="0"/>
                <w:numId w:val="2"/>
              </w:numPr>
              <w:spacing w:before="0" w:beforeAutospacing="0" w:after="0" w:afterAutospacing="0"/>
              <w:rPr>
                <w:rFonts w:asciiTheme="minorHAnsi" w:hAnsiTheme="minorHAnsi" w:cstheme="minorHAnsi"/>
              </w:rPr>
            </w:pPr>
            <w:r w:rsidRPr="00BC358C">
              <w:rPr>
                <w:rFonts w:asciiTheme="minorHAnsi" w:hAnsiTheme="minorHAnsi" w:cstheme="minorHAnsi"/>
                <w:color w:val="0B0C0C"/>
              </w:rPr>
              <w:t xml:space="preserve">We will continue to work with </w:t>
            </w:r>
            <w:proofErr w:type="spellStart"/>
            <w:r w:rsidRPr="00BC358C">
              <w:rPr>
                <w:rFonts w:asciiTheme="minorHAnsi" w:hAnsiTheme="minorHAnsi" w:cstheme="minorHAnsi"/>
                <w:color w:val="0B0C0C"/>
              </w:rPr>
              <w:t>Ofqual</w:t>
            </w:r>
            <w:proofErr w:type="spellEnd"/>
            <w:r w:rsidRPr="00BC358C">
              <w:rPr>
                <w:rFonts w:asciiTheme="minorHAnsi" w:hAnsiTheme="minorHAnsi" w:cstheme="minorHAnsi"/>
                <w:color w:val="0B0C0C"/>
              </w:rPr>
              <w:t>, awarding organisations and other stakeholders to discuss the next steps and provide more detail on the way forward</w:t>
            </w:r>
          </w:p>
          <w:p w14:paraId="6DE0A4E4" w14:textId="77777777" w:rsidR="0070172D" w:rsidRPr="00BC358C" w:rsidRDefault="0070172D" w:rsidP="0070172D">
            <w:pPr>
              <w:pStyle w:val="NormalWeb"/>
              <w:spacing w:before="0" w:beforeAutospacing="0" w:after="0" w:afterAutospacing="0"/>
              <w:ind w:left="360"/>
              <w:rPr>
                <w:rFonts w:asciiTheme="minorHAnsi" w:eastAsia="Times New Roman" w:hAnsiTheme="minorHAnsi" w:cstheme="minorHAnsi"/>
                <w:color w:val="0B0C0C"/>
              </w:rPr>
            </w:pPr>
          </w:p>
        </w:tc>
      </w:tr>
      <w:tr w:rsidR="0070172D" w:rsidRPr="00BC358C" w14:paraId="16A8A902" w14:textId="77777777" w:rsidTr="00345E5D">
        <w:tc>
          <w:tcPr>
            <w:tcW w:w="1604" w:type="dxa"/>
            <w:gridSpan w:val="2"/>
            <w:shd w:val="clear" w:color="auto" w:fill="C6D9F1" w:themeFill="text2" w:themeFillTint="33"/>
          </w:tcPr>
          <w:p w14:paraId="684F700A" w14:textId="30DA9C95" w:rsidR="0070172D" w:rsidRPr="00BC358C" w:rsidRDefault="0070172D" w:rsidP="0070172D">
            <w:pPr>
              <w:rPr>
                <w:rFonts w:cstheme="minorHAnsi"/>
                <w:b/>
                <w:bCs/>
                <w:sz w:val="22"/>
              </w:rPr>
            </w:pPr>
            <w:r w:rsidRPr="00BC358C">
              <w:rPr>
                <w:rFonts w:cstheme="minorHAnsi"/>
                <w:b/>
                <w:bCs/>
                <w:sz w:val="22"/>
              </w:rPr>
              <w:t>Primary Assessment</w:t>
            </w:r>
          </w:p>
        </w:tc>
        <w:tc>
          <w:tcPr>
            <w:tcW w:w="12708" w:type="dxa"/>
          </w:tcPr>
          <w:p w14:paraId="4DB5BFF8" w14:textId="77777777" w:rsidR="0070172D" w:rsidRPr="00BC358C" w:rsidRDefault="0070172D" w:rsidP="0070172D">
            <w:pPr>
              <w:pStyle w:val="ListParagraph"/>
              <w:numPr>
                <w:ilvl w:val="0"/>
                <w:numId w:val="9"/>
              </w:numPr>
              <w:rPr>
                <w:rFonts w:cstheme="minorHAnsi"/>
                <w:sz w:val="22"/>
              </w:rPr>
            </w:pPr>
            <w:r w:rsidRPr="00BC358C">
              <w:rPr>
                <w:rFonts w:eastAsia="Times New Roman" w:cstheme="minorHAnsi"/>
                <w:color w:val="0B0C0C"/>
                <w:sz w:val="22"/>
                <w:lang w:eastAsia="en-GB"/>
              </w:rPr>
              <w:t>Statutory key stage 1 and key stage 2 tests and teacher assessments planned for summer 2021, including the key stage 2 tests in reading and mathematics, will not take place</w:t>
            </w:r>
          </w:p>
          <w:p w14:paraId="177D89B7" w14:textId="6FB83CC8" w:rsidR="0070172D" w:rsidRPr="00BC358C" w:rsidRDefault="0070172D" w:rsidP="0070172D">
            <w:pPr>
              <w:pStyle w:val="NormalWeb"/>
              <w:spacing w:before="0" w:beforeAutospacing="0" w:after="0" w:afterAutospacing="0"/>
              <w:ind w:left="360"/>
              <w:rPr>
                <w:rFonts w:asciiTheme="minorHAnsi" w:hAnsiTheme="minorHAnsi" w:cstheme="minorHAnsi"/>
              </w:rPr>
            </w:pPr>
          </w:p>
        </w:tc>
      </w:tr>
      <w:tr w:rsidR="008B5B07" w:rsidRPr="00CF1434" w14:paraId="1C3EE32D" w14:textId="77777777" w:rsidTr="00345E5D">
        <w:tc>
          <w:tcPr>
            <w:tcW w:w="1595" w:type="dxa"/>
            <w:tcBorders>
              <w:bottom w:val="single" w:sz="4" w:space="0" w:color="auto"/>
            </w:tcBorders>
            <w:shd w:val="clear" w:color="auto" w:fill="CCC0D9" w:themeFill="accent4" w:themeFillTint="66"/>
          </w:tcPr>
          <w:p w14:paraId="434F48BB" w14:textId="77777777" w:rsidR="008B5B07" w:rsidRPr="00CE4765" w:rsidRDefault="008B5B07" w:rsidP="00BC2E97">
            <w:pPr>
              <w:rPr>
                <w:rFonts w:cstheme="minorHAnsi"/>
                <w:b/>
                <w:bCs/>
                <w:sz w:val="22"/>
              </w:rPr>
            </w:pPr>
            <w:r w:rsidRPr="00CE4765">
              <w:rPr>
                <w:rFonts w:cstheme="minorHAnsi"/>
                <w:b/>
                <w:bCs/>
                <w:sz w:val="22"/>
              </w:rPr>
              <w:t>Assessment and Accountability</w:t>
            </w:r>
          </w:p>
        </w:tc>
        <w:tc>
          <w:tcPr>
            <w:tcW w:w="12717" w:type="dxa"/>
            <w:gridSpan w:val="2"/>
            <w:tcBorders>
              <w:bottom w:val="single" w:sz="4" w:space="0" w:color="auto"/>
            </w:tcBorders>
          </w:tcPr>
          <w:p w14:paraId="53A5FF01" w14:textId="290B0B30" w:rsidR="008B5B07" w:rsidRPr="00CE4765" w:rsidRDefault="00E822DC" w:rsidP="00BC2E97">
            <w:pPr>
              <w:rPr>
                <w:sz w:val="22"/>
                <w:szCs w:val="20"/>
              </w:rPr>
            </w:pPr>
            <w:r>
              <w:rPr>
                <w:sz w:val="22"/>
                <w:szCs w:val="20"/>
              </w:rPr>
              <w:t xml:space="preserve">Primary Assessment - </w:t>
            </w:r>
            <w:r w:rsidR="008B5B07" w:rsidRPr="00CE4765">
              <w:rPr>
                <w:sz w:val="22"/>
                <w:szCs w:val="20"/>
              </w:rPr>
              <w:t>Schools to continue to use assessment during the summer term to inform teaching, to enable them to give information to parents on their child’s attainment in their annual report and to support transition to secondary school. We strongly encourage schools to do this, using past test papers if they wish.</w:t>
            </w:r>
          </w:p>
          <w:p w14:paraId="2234B7BC" w14:textId="77777777" w:rsidR="008B5B07" w:rsidRPr="00CE4765" w:rsidRDefault="008B5B07" w:rsidP="00BC2E97">
            <w:pPr>
              <w:rPr>
                <w:sz w:val="22"/>
                <w:szCs w:val="20"/>
              </w:rPr>
            </w:pPr>
          </w:p>
          <w:p w14:paraId="5B797020" w14:textId="77777777" w:rsidR="008B5B07" w:rsidRPr="00CE4765" w:rsidRDefault="008B5B07" w:rsidP="00BC2E97">
            <w:pPr>
              <w:rPr>
                <w:sz w:val="22"/>
                <w:szCs w:val="20"/>
              </w:rPr>
            </w:pPr>
            <w:r w:rsidRPr="00CE4765">
              <w:rPr>
                <w:sz w:val="22"/>
                <w:szCs w:val="20"/>
              </w:rPr>
              <w:t xml:space="preserve">Read </w:t>
            </w:r>
            <w:hyperlink r:id="rId21" w:history="1">
              <w:r w:rsidRPr="00CE4765">
                <w:rPr>
                  <w:rStyle w:val="Hyperlink"/>
                  <w:sz w:val="22"/>
                  <w:szCs w:val="20"/>
                </w:rPr>
                <w:t>coronavirus (COVID-19): school and college accountability</w:t>
              </w:r>
            </w:hyperlink>
            <w:r w:rsidRPr="00CE4765">
              <w:rPr>
                <w:sz w:val="22"/>
                <w:szCs w:val="20"/>
              </w:rPr>
              <w:t xml:space="preserve"> to see what this means for accountability in 2019 to 2020 and 2020 to 2021.</w:t>
            </w:r>
          </w:p>
          <w:p w14:paraId="5CCF6ABE" w14:textId="77777777" w:rsidR="008B5B07" w:rsidRPr="00CE4765" w:rsidRDefault="008B5B07" w:rsidP="00BC2E97">
            <w:pPr>
              <w:rPr>
                <w:sz w:val="22"/>
                <w:szCs w:val="20"/>
              </w:rPr>
            </w:pPr>
          </w:p>
        </w:tc>
      </w:tr>
      <w:tr w:rsidR="00345E5D" w:rsidRPr="00BC358C" w14:paraId="1E4B1114" w14:textId="77777777" w:rsidTr="001B37FA">
        <w:tc>
          <w:tcPr>
            <w:tcW w:w="1604" w:type="dxa"/>
            <w:gridSpan w:val="2"/>
            <w:tcBorders>
              <w:top w:val="nil"/>
              <w:left w:val="nil"/>
              <w:bottom w:val="single" w:sz="4" w:space="0" w:color="auto"/>
              <w:right w:val="nil"/>
            </w:tcBorders>
            <w:shd w:val="clear" w:color="auto" w:fill="auto"/>
          </w:tcPr>
          <w:p w14:paraId="0410A520" w14:textId="77777777" w:rsidR="00345E5D" w:rsidRPr="001B37FA" w:rsidRDefault="00345E5D" w:rsidP="0070172D">
            <w:pPr>
              <w:rPr>
                <w:rFonts w:cstheme="minorHAnsi"/>
                <w:b/>
                <w:bCs/>
                <w:szCs w:val="24"/>
              </w:rPr>
            </w:pPr>
          </w:p>
        </w:tc>
        <w:tc>
          <w:tcPr>
            <w:tcW w:w="12708" w:type="dxa"/>
            <w:tcBorders>
              <w:top w:val="nil"/>
              <w:left w:val="nil"/>
              <w:bottom w:val="nil"/>
              <w:right w:val="nil"/>
            </w:tcBorders>
            <w:shd w:val="clear" w:color="auto" w:fill="auto"/>
          </w:tcPr>
          <w:p w14:paraId="0D9B6A56" w14:textId="77777777" w:rsidR="00345E5D" w:rsidRPr="00BC358C" w:rsidRDefault="00345E5D" w:rsidP="00345E5D">
            <w:pPr>
              <w:pStyle w:val="ListParagraph"/>
              <w:shd w:val="clear" w:color="auto" w:fill="FFFFFF"/>
              <w:ind w:left="360"/>
              <w:rPr>
                <w:rFonts w:eastAsia="Times New Roman" w:cstheme="minorHAnsi"/>
                <w:color w:val="0B0C0C"/>
                <w:sz w:val="22"/>
                <w:lang w:eastAsia="en-GB"/>
              </w:rPr>
            </w:pPr>
          </w:p>
        </w:tc>
      </w:tr>
      <w:tr w:rsidR="0070172D" w:rsidRPr="00BC358C" w14:paraId="472A6DB5" w14:textId="77777777" w:rsidTr="001B37FA">
        <w:tc>
          <w:tcPr>
            <w:tcW w:w="1604" w:type="dxa"/>
            <w:gridSpan w:val="2"/>
            <w:tcBorders>
              <w:top w:val="single" w:sz="4" w:space="0" w:color="auto"/>
            </w:tcBorders>
            <w:shd w:val="clear" w:color="auto" w:fill="C6D9F1" w:themeFill="text2" w:themeFillTint="33"/>
          </w:tcPr>
          <w:p w14:paraId="0CC4DDD2" w14:textId="186D16EE" w:rsidR="0070172D" w:rsidRPr="00BC358C" w:rsidRDefault="00345E5D" w:rsidP="0070172D">
            <w:pPr>
              <w:pStyle w:val="Heading2"/>
              <w:spacing w:before="0"/>
              <w:rPr>
                <w:rFonts w:asciiTheme="minorHAnsi" w:eastAsiaTheme="minorHAnsi" w:hAnsiTheme="minorHAnsi" w:cstheme="minorHAnsi"/>
                <w:b/>
                <w:bCs/>
                <w:color w:val="0B0C0C"/>
                <w:sz w:val="22"/>
                <w:szCs w:val="22"/>
              </w:rPr>
            </w:pPr>
            <w:r>
              <w:rPr>
                <w:rFonts w:asciiTheme="minorHAnsi" w:eastAsiaTheme="minorHAnsi" w:hAnsiTheme="minorHAnsi" w:cstheme="minorHAnsi"/>
                <w:b/>
                <w:bCs/>
                <w:color w:val="0B0C0C"/>
                <w:sz w:val="22"/>
                <w:szCs w:val="22"/>
              </w:rPr>
              <w:t xml:space="preserve">Schools workforce - </w:t>
            </w:r>
            <w:r w:rsidR="001E6782">
              <w:rPr>
                <w:rFonts w:asciiTheme="minorHAnsi" w:eastAsiaTheme="minorHAnsi" w:hAnsiTheme="minorHAnsi" w:cstheme="minorHAnsi"/>
                <w:b/>
                <w:bCs/>
                <w:color w:val="0B0C0C"/>
                <w:sz w:val="22"/>
                <w:szCs w:val="22"/>
              </w:rPr>
              <w:t>NEU and Unison advice to members</w:t>
            </w:r>
          </w:p>
        </w:tc>
        <w:tc>
          <w:tcPr>
            <w:tcW w:w="12708" w:type="dxa"/>
          </w:tcPr>
          <w:p w14:paraId="6B71313B" w14:textId="77777777" w:rsidR="0070172D" w:rsidRDefault="0070172D" w:rsidP="0070172D">
            <w:pPr>
              <w:pStyle w:val="NormalWeb"/>
              <w:numPr>
                <w:ilvl w:val="0"/>
                <w:numId w:val="6"/>
              </w:numPr>
              <w:spacing w:before="0" w:beforeAutospacing="0" w:after="0" w:afterAutospacing="0"/>
              <w:rPr>
                <w:rFonts w:asciiTheme="minorHAnsi" w:hAnsiTheme="minorHAnsi" w:cstheme="minorHAnsi"/>
                <w:color w:val="0B0C0C"/>
              </w:rPr>
            </w:pPr>
            <w:r>
              <w:rPr>
                <w:rFonts w:asciiTheme="minorHAnsi" w:hAnsiTheme="minorHAnsi" w:cstheme="minorHAnsi"/>
                <w:color w:val="0B0C0C"/>
              </w:rPr>
              <w:t>T</w:t>
            </w:r>
            <w:r w:rsidRPr="0070172D">
              <w:rPr>
                <w:rFonts w:asciiTheme="minorHAnsi" w:hAnsiTheme="minorHAnsi" w:cstheme="minorHAnsi"/>
                <w:color w:val="0B0C0C"/>
              </w:rPr>
              <w:t>he National Education Union and UNISON had advised their members that they believe schools are not safe and their members should not be returning to the workplace. We understand that this advice has now been withdrawn.</w:t>
            </w:r>
          </w:p>
          <w:p w14:paraId="5A3A0E75" w14:textId="77777777" w:rsidR="0070172D" w:rsidRDefault="0070172D" w:rsidP="0070172D">
            <w:pPr>
              <w:pStyle w:val="NormalWeb"/>
              <w:numPr>
                <w:ilvl w:val="0"/>
                <w:numId w:val="6"/>
              </w:numPr>
              <w:spacing w:before="0" w:beforeAutospacing="0" w:after="0" w:afterAutospacing="0"/>
              <w:rPr>
                <w:rFonts w:asciiTheme="minorHAnsi" w:hAnsiTheme="minorHAnsi" w:cstheme="minorHAnsi"/>
                <w:color w:val="0B0C0C"/>
              </w:rPr>
            </w:pPr>
            <w:r>
              <w:rPr>
                <w:rFonts w:asciiTheme="minorHAnsi" w:hAnsiTheme="minorHAnsi" w:cstheme="minorHAnsi"/>
                <w:color w:val="0B0C0C"/>
              </w:rPr>
              <w:t>C</w:t>
            </w:r>
            <w:r w:rsidRPr="0070172D">
              <w:rPr>
                <w:rFonts w:asciiTheme="minorHAnsi" w:hAnsiTheme="minorHAnsi" w:cstheme="minorHAnsi"/>
                <w:color w:val="0B0C0C"/>
              </w:rPr>
              <w:t>ontinue to operate the Public Health England (PHE)-endorsed ‘system of controls’ that have been in use throughout the coronavirus (COVID-19) pandemic.</w:t>
            </w:r>
          </w:p>
          <w:p w14:paraId="719925C7" w14:textId="61280A74" w:rsidR="001E6782" w:rsidRPr="001E6782" w:rsidRDefault="001E6782" w:rsidP="001E6782">
            <w:pPr>
              <w:pStyle w:val="NormalWeb"/>
              <w:numPr>
                <w:ilvl w:val="0"/>
                <w:numId w:val="6"/>
              </w:numPr>
              <w:spacing w:before="0" w:beforeAutospacing="0" w:after="0" w:afterAutospacing="0"/>
              <w:rPr>
                <w:rFonts w:asciiTheme="minorHAnsi" w:hAnsiTheme="minorHAnsi" w:cstheme="minorHAnsi"/>
                <w:color w:val="0B0C0C"/>
              </w:rPr>
            </w:pPr>
            <w:r w:rsidRPr="001E6782">
              <w:rPr>
                <w:rFonts w:asciiTheme="minorHAnsi" w:hAnsiTheme="minorHAnsi" w:cstheme="minorHAnsi"/>
                <w:color w:val="0B0C0C"/>
              </w:rPr>
              <w:t xml:space="preserve">If you are receiving letters from members of staff stating that they do not intend to attend the workplace as they do not consider it to be safe, you should engage with them, noting that the NEU and UNISON advice has been withdrawn and setting out the reasons that schools can and should be open. </w:t>
            </w:r>
          </w:p>
          <w:p w14:paraId="5253E948" w14:textId="64BAE968" w:rsidR="001E6782" w:rsidRPr="001E6782" w:rsidRDefault="001E6782" w:rsidP="001E6782">
            <w:pPr>
              <w:pStyle w:val="NormalWeb"/>
              <w:numPr>
                <w:ilvl w:val="0"/>
                <w:numId w:val="6"/>
              </w:numPr>
              <w:spacing w:before="0" w:beforeAutospacing="0" w:after="0" w:afterAutospacing="0"/>
              <w:rPr>
                <w:rFonts w:asciiTheme="minorHAnsi" w:hAnsiTheme="minorHAnsi" w:cstheme="minorHAnsi"/>
                <w:color w:val="0B0C0C"/>
              </w:rPr>
            </w:pPr>
            <w:r w:rsidRPr="001E6782">
              <w:rPr>
                <w:rFonts w:asciiTheme="minorHAnsi" w:hAnsiTheme="minorHAnsi" w:cstheme="minorHAnsi"/>
                <w:color w:val="0B0C0C"/>
              </w:rPr>
              <w:t>You will also want to consider their specific circumstances and concerns, to which you can then respond. If required, we recommend you seek your own legal advice.</w:t>
            </w:r>
          </w:p>
          <w:p w14:paraId="777E6660" w14:textId="2987CFC2" w:rsidR="001E6782" w:rsidRPr="0070172D" w:rsidRDefault="001E6782" w:rsidP="001E6782">
            <w:pPr>
              <w:pStyle w:val="NormalWeb"/>
              <w:spacing w:before="0" w:beforeAutospacing="0" w:after="0" w:afterAutospacing="0"/>
              <w:ind w:left="360"/>
              <w:rPr>
                <w:rFonts w:asciiTheme="minorHAnsi" w:hAnsiTheme="minorHAnsi" w:cstheme="minorHAnsi"/>
                <w:color w:val="0B0C0C"/>
              </w:rPr>
            </w:pPr>
          </w:p>
        </w:tc>
      </w:tr>
      <w:tr w:rsidR="00572581" w:rsidRPr="00CF1434" w14:paraId="6B3AAE12" w14:textId="77777777" w:rsidTr="00345E5D">
        <w:tc>
          <w:tcPr>
            <w:tcW w:w="1604" w:type="dxa"/>
            <w:gridSpan w:val="2"/>
            <w:shd w:val="clear" w:color="auto" w:fill="CCC0D9" w:themeFill="accent4" w:themeFillTint="66"/>
          </w:tcPr>
          <w:p w14:paraId="58A24488" w14:textId="77777777" w:rsidR="00572581" w:rsidRPr="00B703FB" w:rsidRDefault="00572581" w:rsidP="00BC2E97">
            <w:pPr>
              <w:rPr>
                <w:rFonts w:cstheme="minorHAnsi"/>
                <w:b/>
                <w:bCs/>
                <w:sz w:val="22"/>
              </w:rPr>
            </w:pPr>
            <w:r w:rsidRPr="00B703FB">
              <w:rPr>
                <w:rFonts w:cstheme="minorHAnsi"/>
                <w:b/>
                <w:bCs/>
                <w:sz w:val="22"/>
              </w:rPr>
              <w:t>School workforce</w:t>
            </w:r>
          </w:p>
        </w:tc>
        <w:tc>
          <w:tcPr>
            <w:tcW w:w="12708" w:type="dxa"/>
          </w:tcPr>
          <w:p w14:paraId="642C0978" w14:textId="77777777" w:rsidR="00572581" w:rsidRPr="00B703FB" w:rsidRDefault="00572581" w:rsidP="00BC2E97">
            <w:pPr>
              <w:rPr>
                <w:sz w:val="22"/>
              </w:rPr>
            </w:pPr>
            <w:r w:rsidRPr="00B703FB">
              <w:rPr>
                <w:sz w:val="22"/>
              </w:rPr>
              <w:t xml:space="preserve">School leaders are best placed to determine the workforce that is required in school, </w:t>
            </w:r>
            <w:proofErr w:type="gramStart"/>
            <w:r w:rsidRPr="00B703FB">
              <w:rPr>
                <w:sz w:val="22"/>
              </w:rPr>
              <w:t>taking into account</w:t>
            </w:r>
            <w:proofErr w:type="gramEnd"/>
            <w:r w:rsidRPr="00B703FB">
              <w:rPr>
                <w:sz w:val="22"/>
              </w:rPr>
              <w:t xml:space="preserve"> the updated guidance for those staff who are clinically extremely vulnerable. The expectation is that those staff not attending school will work from home where possible.</w:t>
            </w:r>
          </w:p>
          <w:p w14:paraId="0874284C" w14:textId="77777777" w:rsidR="00572581" w:rsidRPr="00B703FB" w:rsidRDefault="00572581" w:rsidP="00BC2E97">
            <w:pPr>
              <w:rPr>
                <w:rFonts w:cstheme="minorHAnsi"/>
                <w:sz w:val="22"/>
              </w:rPr>
            </w:pPr>
          </w:p>
        </w:tc>
      </w:tr>
      <w:tr w:rsidR="00572581" w:rsidRPr="00CF1434" w14:paraId="49271F3D" w14:textId="77777777" w:rsidTr="00345E5D">
        <w:tc>
          <w:tcPr>
            <w:tcW w:w="1604" w:type="dxa"/>
            <w:gridSpan w:val="2"/>
            <w:shd w:val="clear" w:color="auto" w:fill="CCC0D9" w:themeFill="accent4" w:themeFillTint="66"/>
          </w:tcPr>
          <w:p w14:paraId="4534C6CD" w14:textId="77777777" w:rsidR="00572581" w:rsidRPr="00B703FB" w:rsidRDefault="00572581" w:rsidP="00BC2E97">
            <w:pPr>
              <w:rPr>
                <w:rFonts w:cstheme="minorHAnsi"/>
                <w:b/>
                <w:bCs/>
                <w:sz w:val="22"/>
              </w:rPr>
            </w:pPr>
            <w:r w:rsidRPr="00B703FB">
              <w:rPr>
                <w:rFonts w:cstheme="minorHAnsi"/>
                <w:b/>
                <w:bCs/>
                <w:sz w:val="22"/>
              </w:rPr>
              <w:t xml:space="preserve">Staff who are clinically </w:t>
            </w:r>
            <w:r w:rsidRPr="00B703FB">
              <w:rPr>
                <w:rFonts w:cstheme="minorHAnsi"/>
                <w:b/>
                <w:bCs/>
                <w:sz w:val="22"/>
              </w:rPr>
              <w:lastRenderedPageBreak/>
              <w:t>extremely vulnerable</w:t>
            </w:r>
          </w:p>
        </w:tc>
        <w:tc>
          <w:tcPr>
            <w:tcW w:w="12708" w:type="dxa"/>
          </w:tcPr>
          <w:p w14:paraId="14BB6D6F" w14:textId="77777777" w:rsidR="00572581" w:rsidRPr="00B703FB" w:rsidRDefault="00572581" w:rsidP="00BC2E97">
            <w:pPr>
              <w:rPr>
                <w:sz w:val="22"/>
              </w:rPr>
            </w:pPr>
            <w:r w:rsidRPr="00B703FB">
              <w:rPr>
                <w:sz w:val="22"/>
              </w:rPr>
              <w:lastRenderedPageBreak/>
              <w:t xml:space="preserve">Clinically extremely vulnerable staff </w:t>
            </w:r>
            <w:r>
              <w:rPr>
                <w:sz w:val="22"/>
              </w:rPr>
              <w:t xml:space="preserve">(those identified through a letter from the NHS or specialist doctor) </w:t>
            </w:r>
            <w:r w:rsidRPr="00B703FB">
              <w:rPr>
                <w:sz w:val="22"/>
              </w:rPr>
              <w:t xml:space="preserve">are advised that they should not attend the workplace. Staff who are identified as clinically extremely vulnerable should follow the published guidance. Staff should talk to </w:t>
            </w:r>
            <w:r w:rsidRPr="00B703FB">
              <w:rPr>
                <w:sz w:val="22"/>
              </w:rPr>
              <w:lastRenderedPageBreak/>
              <w:t xml:space="preserve">their employers about how they will be supported, including to work from home. </w:t>
            </w:r>
            <w:r>
              <w:rPr>
                <w:sz w:val="22"/>
              </w:rPr>
              <w:t xml:space="preserve"> </w:t>
            </w:r>
            <w:r w:rsidRPr="00B703FB">
              <w:rPr>
                <w:sz w:val="22"/>
              </w:rPr>
              <w:t>Schools should continue to pay clinically extremely vulnerable staff on their usual terms</w:t>
            </w:r>
          </w:p>
          <w:p w14:paraId="7561EF52" w14:textId="77777777" w:rsidR="00572581" w:rsidRPr="00B703FB" w:rsidRDefault="00572581" w:rsidP="00BC2E97">
            <w:pPr>
              <w:rPr>
                <w:rFonts w:cstheme="minorHAnsi"/>
                <w:sz w:val="22"/>
              </w:rPr>
            </w:pPr>
          </w:p>
        </w:tc>
      </w:tr>
      <w:tr w:rsidR="00572581" w:rsidRPr="00CF1434" w14:paraId="4503C455" w14:textId="77777777" w:rsidTr="00345E5D">
        <w:tc>
          <w:tcPr>
            <w:tcW w:w="1604" w:type="dxa"/>
            <w:gridSpan w:val="2"/>
            <w:shd w:val="clear" w:color="auto" w:fill="CCC0D9" w:themeFill="accent4" w:themeFillTint="66"/>
          </w:tcPr>
          <w:p w14:paraId="7CE64A23" w14:textId="77777777" w:rsidR="00572581" w:rsidRPr="00B703FB" w:rsidRDefault="00572581" w:rsidP="00BC2E97">
            <w:pPr>
              <w:rPr>
                <w:rFonts w:cstheme="minorHAnsi"/>
                <w:b/>
                <w:bCs/>
                <w:sz w:val="22"/>
              </w:rPr>
            </w:pPr>
            <w:r w:rsidRPr="00B703FB">
              <w:rPr>
                <w:rFonts w:cstheme="minorHAnsi"/>
                <w:b/>
                <w:bCs/>
                <w:sz w:val="22"/>
              </w:rPr>
              <w:lastRenderedPageBreak/>
              <w:t>Staff who are clinically vulnerable</w:t>
            </w:r>
          </w:p>
        </w:tc>
        <w:tc>
          <w:tcPr>
            <w:tcW w:w="12708" w:type="dxa"/>
          </w:tcPr>
          <w:p w14:paraId="29B71EE5" w14:textId="77777777" w:rsidR="00572581" w:rsidRDefault="00572581" w:rsidP="00BC2E97">
            <w:pPr>
              <w:rPr>
                <w:sz w:val="22"/>
              </w:rPr>
            </w:pPr>
            <w:r w:rsidRPr="00B703FB">
              <w:rPr>
                <w:sz w:val="22"/>
              </w:rPr>
              <w:t>Clinically vulnerable staff can continue to attend school where it is not possible to work from home. While in school they should follow the sector-specific measures in this document to minimise the risks of transmission.</w:t>
            </w:r>
          </w:p>
          <w:p w14:paraId="71290C88" w14:textId="77777777" w:rsidR="00572581" w:rsidRPr="00B703FB" w:rsidRDefault="00572581" w:rsidP="00BC2E97">
            <w:pPr>
              <w:rPr>
                <w:sz w:val="22"/>
              </w:rPr>
            </w:pPr>
          </w:p>
          <w:p w14:paraId="4ED2B956" w14:textId="77777777" w:rsidR="00572581" w:rsidRPr="00B703FB" w:rsidRDefault="00572581" w:rsidP="00BC2E97">
            <w:pPr>
              <w:rPr>
                <w:sz w:val="22"/>
              </w:rPr>
            </w:pPr>
            <w:r w:rsidRPr="00B703FB">
              <w:rPr>
                <w:rFonts w:cstheme="minorHAnsi"/>
                <w:sz w:val="22"/>
              </w:rPr>
              <w:t xml:space="preserve">Pregnant staff members are in this group – ensure risk assessment considers the additional risks and whether adapting duties/facilitating home working may be appropriate to mitigate risks </w:t>
            </w:r>
            <w:hyperlink r:id="rId22" w:history="1">
              <w:r w:rsidRPr="00B703FB">
                <w:rPr>
                  <w:rStyle w:val="Hyperlink"/>
                  <w:sz w:val="22"/>
                </w:rPr>
                <w:t>guidance and advice on coronavirus (COVID-19) and pregnancy from the Royal College of Gynaecologists.</w:t>
              </w:r>
            </w:hyperlink>
          </w:p>
          <w:p w14:paraId="051D02DE" w14:textId="77777777" w:rsidR="00572581" w:rsidRPr="00B703FB" w:rsidRDefault="00572581" w:rsidP="00BC2E97">
            <w:pPr>
              <w:rPr>
                <w:rFonts w:cstheme="minorHAnsi"/>
                <w:sz w:val="22"/>
              </w:rPr>
            </w:pPr>
          </w:p>
        </w:tc>
      </w:tr>
      <w:tr w:rsidR="00572581" w:rsidRPr="00CF1434" w14:paraId="13B00991" w14:textId="77777777" w:rsidTr="00345E5D">
        <w:tc>
          <w:tcPr>
            <w:tcW w:w="1604" w:type="dxa"/>
            <w:gridSpan w:val="2"/>
            <w:shd w:val="clear" w:color="auto" w:fill="CCC0D9" w:themeFill="accent4" w:themeFillTint="66"/>
          </w:tcPr>
          <w:p w14:paraId="3C8FC7DF" w14:textId="77777777" w:rsidR="00572581" w:rsidRPr="00B703FB" w:rsidRDefault="00572581" w:rsidP="00BC2E97">
            <w:pPr>
              <w:rPr>
                <w:rFonts w:cstheme="minorHAnsi"/>
                <w:b/>
                <w:bCs/>
                <w:sz w:val="22"/>
              </w:rPr>
            </w:pPr>
            <w:r w:rsidRPr="00B703FB">
              <w:rPr>
                <w:rFonts w:cstheme="minorHAnsi"/>
                <w:b/>
                <w:bCs/>
                <w:sz w:val="22"/>
              </w:rPr>
              <w:t>Supporting Staff</w:t>
            </w:r>
          </w:p>
        </w:tc>
        <w:tc>
          <w:tcPr>
            <w:tcW w:w="12708" w:type="dxa"/>
          </w:tcPr>
          <w:p w14:paraId="72F38B6D" w14:textId="77777777" w:rsidR="00572581" w:rsidRPr="00B703FB" w:rsidRDefault="00572581" w:rsidP="00BC2E97">
            <w:pPr>
              <w:rPr>
                <w:sz w:val="22"/>
              </w:rPr>
            </w:pPr>
            <w:r w:rsidRPr="00B703FB">
              <w:rPr>
                <w:sz w:val="22"/>
              </w:rPr>
              <w:t xml:space="preserve">Information about the </w:t>
            </w:r>
            <w:hyperlink r:id="rId23" w:history="1">
              <w:r w:rsidRPr="00B703FB">
                <w:rPr>
                  <w:rStyle w:val="Hyperlink"/>
                  <w:sz w:val="22"/>
                </w:rPr>
                <w:t>extra mental health support for pupils and teachers</w:t>
              </w:r>
            </w:hyperlink>
            <w:r w:rsidRPr="00B703FB">
              <w:rPr>
                <w:sz w:val="22"/>
              </w:rPr>
              <w:t xml:space="preserve"> and Wellbeing for Education return programme is available. The </w:t>
            </w:r>
            <w:hyperlink r:id="rId24" w:history="1">
              <w:r w:rsidRPr="00B703FB">
                <w:rPr>
                  <w:rStyle w:val="Hyperlink"/>
                  <w:sz w:val="22"/>
                </w:rPr>
                <w:t>Education Support Partnership</w:t>
              </w:r>
            </w:hyperlink>
            <w:r w:rsidRPr="00B703FB">
              <w:rPr>
                <w:sz w:val="22"/>
              </w:rPr>
              <w:t xml:space="preserve"> provides a free helpline for school staff and targeted support for mental health and wellbeing.</w:t>
            </w:r>
          </w:p>
          <w:p w14:paraId="0438D780" w14:textId="77777777" w:rsidR="00572581" w:rsidRPr="00B703FB" w:rsidRDefault="00572581" w:rsidP="00BC2E97">
            <w:pPr>
              <w:rPr>
                <w:sz w:val="22"/>
              </w:rPr>
            </w:pPr>
          </w:p>
        </w:tc>
      </w:tr>
      <w:tr w:rsidR="00572581" w:rsidRPr="00CF1434" w14:paraId="0FBA8F00" w14:textId="77777777" w:rsidTr="00345E5D">
        <w:tc>
          <w:tcPr>
            <w:tcW w:w="1604" w:type="dxa"/>
            <w:gridSpan w:val="2"/>
            <w:shd w:val="clear" w:color="auto" w:fill="CCC0D9" w:themeFill="accent4" w:themeFillTint="66"/>
          </w:tcPr>
          <w:p w14:paraId="636BBEC3" w14:textId="77777777" w:rsidR="00572581" w:rsidRPr="00B703FB" w:rsidRDefault="00572581" w:rsidP="00BC2E97">
            <w:pPr>
              <w:rPr>
                <w:rFonts w:cstheme="minorHAnsi"/>
                <w:b/>
                <w:bCs/>
                <w:sz w:val="22"/>
              </w:rPr>
            </w:pPr>
            <w:r w:rsidRPr="00B703FB">
              <w:rPr>
                <w:rFonts w:cstheme="minorHAnsi"/>
                <w:b/>
                <w:bCs/>
                <w:sz w:val="22"/>
              </w:rPr>
              <w:t>Staff Deployment</w:t>
            </w:r>
          </w:p>
        </w:tc>
        <w:tc>
          <w:tcPr>
            <w:tcW w:w="12708" w:type="dxa"/>
          </w:tcPr>
          <w:p w14:paraId="37823CCC" w14:textId="77777777" w:rsidR="00572581" w:rsidRPr="00B703FB" w:rsidRDefault="00572581" w:rsidP="00BC2E97">
            <w:pPr>
              <w:rPr>
                <w:sz w:val="22"/>
              </w:rPr>
            </w:pPr>
            <w:r w:rsidRPr="00B703FB">
              <w:rPr>
                <w:sz w:val="22"/>
              </w:rPr>
              <w:t>Schools may need to alter the way in which they deploy their staff</w:t>
            </w:r>
            <w:r>
              <w:rPr>
                <w:sz w:val="22"/>
              </w:rPr>
              <w:t xml:space="preserve"> </w:t>
            </w:r>
            <w:r w:rsidRPr="00B703FB">
              <w:rPr>
                <w:sz w:val="22"/>
              </w:rPr>
              <w:t>and use existing staff more flexibly. Managers should discuss and agree any changes to staff roles with individuals.</w:t>
            </w:r>
          </w:p>
          <w:p w14:paraId="1A631E8D" w14:textId="77777777" w:rsidR="00572581" w:rsidRPr="00B703FB" w:rsidRDefault="00572581" w:rsidP="00BC2E97">
            <w:pPr>
              <w:rPr>
                <w:sz w:val="22"/>
              </w:rPr>
            </w:pPr>
          </w:p>
          <w:p w14:paraId="6797C2CA" w14:textId="5A8CC21A" w:rsidR="00572581" w:rsidRDefault="00572581" w:rsidP="00BC2E97">
            <w:pPr>
              <w:rPr>
                <w:sz w:val="22"/>
              </w:rPr>
            </w:pPr>
            <w:r w:rsidRPr="00B703FB">
              <w:rPr>
                <w:sz w:val="22"/>
              </w:rPr>
              <w:t xml:space="preserve">Schools should ensure that appropriate support is made available for pupils with SEND, for example by deploying teaching assistants and enabling specialist staff from both within and outside the school. Where support staff capacity is available, schools may consider using this to support catch-up provision or targeted interventions. Teaching assistants may also be deployed to lead groups or cover lessons, under the direction and supervision of a qualified, or nominated, teacher. </w:t>
            </w:r>
          </w:p>
          <w:p w14:paraId="64FF42B9" w14:textId="77777777" w:rsidR="000E12A4" w:rsidRDefault="000E12A4" w:rsidP="00BC2E97">
            <w:pPr>
              <w:rPr>
                <w:sz w:val="22"/>
              </w:rPr>
            </w:pPr>
          </w:p>
          <w:p w14:paraId="4418A8BB" w14:textId="544E4A7F" w:rsidR="00572581" w:rsidRPr="00B703FB" w:rsidRDefault="00572581" w:rsidP="00BC2E97">
            <w:pPr>
              <w:rPr>
                <w:sz w:val="22"/>
              </w:rPr>
            </w:pPr>
            <w:r w:rsidRPr="00B703FB">
              <w:rPr>
                <w:sz w:val="22"/>
              </w:rPr>
              <w:t>Any redeployments should not be at the expense of supporting pupils with SEND.  Headteachers must consider regulated activity, appropriate checks, safe ratios, specific training requirements, and ensure that the person has the appropriate skills, expertise and experience</w:t>
            </w:r>
            <w:r>
              <w:rPr>
                <w:sz w:val="22"/>
              </w:rPr>
              <w:t>.</w:t>
            </w:r>
          </w:p>
          <w:p w14:paraId="010DF69D" w14:textId="77777777" w:rsidR="00572581" w:rsidRPr="00B703FB" w:rsidRDefault="00572581" w:rsidP="00BC2E97">
            <w:pPr>
              <w:rPr>
                <w:sz w:val="22"/>
              </w:rPr>
            </w:pPr>
          </w:p>
        </w:tc>
      </w:tr>
      <w:tr w:rsidR="0045415A" w:rsidRPr="00CF1434" w14:paraId="017E8694" w14:textId="77777777" w:rsidTr="00345E5D">
        <w:tc>
          <w:tcPr>
            <w:tcW w:w="1604" w:type="dxa"/>
            <w:gridSpan w:val="2"/>
            <w:shd w:val="clear" w:color="auto" w:fill="CCC0D9" w:themeFill="accent4" w:themeFillTint="66"/>
          </w:tcPr>
          <w:p w14:paraId="14560742" w14:textId="77777777" w:rsidR="0045415A" w:rsidRPr="00B703FB" w:rsidRDefault="0045415A" w:rsidP="00BC2E97">
            <w:pPr>
              <w:rPr>
                <w:rFonts w:cstheme="minorHAnsi"/>
                <w:b/>
                <w:bCs/>
                <w:sz w:val="22"/>
              </w:rPr>
            </w:pPr>
            <w:r w:rsidRPr="00B703FB">
              <w:rPr>
                <w:rFonts w:cstheme="minorHAnsi"/>
                <w:b/>
                <w:bCs/>
                <w:sz w:val="22"/>
              </w:rPr>
              <w:t>Recruitment</w:t>
            </w:r>
          </w:p>
        </w:tc>
        <w:tc>
          <w:tcPr>
            <w:tcW w:w="12708" w:type="dxa"/>
          </w:tcPr>
          <w:p w14:paraId="436118A4" w14:textId="77777777" w:rsidR="0045415A" w:rsidRPr="00B703FB" w:rsidRDefault="0045415A" w:rsidP="00BC2E97">
            <w:pPr>
              <w:rPr>
                <w:sz w:val="22"/>
              </w:rPr>
            </w:pPr>
            <w:r w:rsidRPr="00B703FB">
              <w:rPr>
                <w:sz w:val="22"/>
              </w:rPr>
              <w:t>Recruitment should continue as usual.  Consider a flexible approach to interviews.</w:t>
            </w:r>
          </w:p>
          <w:p w14:paraId="7EFB15C1" w14:textId="77777777" w:rsidR="0045415A" w:rsidRPr="00B703FB" w:rsidRDefault="0045415A" w:rsidP="00BC2E97">
            <w:pPr>
              <w:rPr>
                <w:sz w:val="22"/>
              </w:rPr>
            </w:pPr>
          </w:p>
        </w:tc>
      </w:tr>
      <w:tr w:rsidR="0045415A" w:rsidRPr="00CF1434" w14:paraId="2C9F0806" w14:textId="77777777" w:rsidTr="00345E5D">
        <w:tc>
          <w:tcPr>
            <w:tcW w:w="1604" w:type="dxa"/>
            <w:gridSpan w:val="2"/>
            <w:shd w:val="clear" w:color="auto" w:fill="CCC0D9" w:themeFill="accent4" w:themeFillTint="66"/>
          </w:tcPr>
          <w:p w14:paraId="6DFD79CF" w14:textId="77777777" w:rsidR="0045415A" w:rsidRPr="00B703FB" w:rsidRDefault="0045415A" w:rsidP="00BC2E97">
            <w:pPr>
              <w:rPr>
                <w:rFonts w:cstheme="minorHAnsi"/>
                <w:b/>
                <w:bCs/>
                <w:sz w:val="22"/>
              </w:rPr>
            </w:pPr>
            <w:r w:rsidRPr="00B703FB">
              <w:rPr>
                <w:rFonts w:cstheme="minorHAnsi"/>
                <w:b/>
                <w:bCs/>
                <w:sz w:val="22"/>
              </w:rPr>
              <w:t>Supply Teachers/ Peripatetic Teachers/</w:t>
            </w:r>
          </w:p>
          <w:p w14:paraId="3036F42F" w14:textId="77777777" w:rsidR="0045415A" w:rsidRPr="00B703FB" w:rsidRDefault="0045415A" w:rsidP="00BC2E97">
            <w:pPr>
              <w:rPr>
                <w:rFonts w:cstheme="minorHAnsi"/>
                <w:b/>
                <w:bCs/>
                <w:sz w:val="22"/>
              </w:rPr>
            </w:pPr>
            <w:r w:rsidRPr="00B703FB">
              <w:rPr>
                <w:rFonts w:cstheme="minorHAnsi"/>
                <w:b/>
                <w:bCs/>
                <w:sz w:val="22"/>
              </w:rPr>
              <w:t>Volunteers</w:t>
            </w:r>
          </w:p>
        </w:tc>
        <w:tc>
          <w:tcPr>
            <w:tcW w:w="12708" w:type="dxa"/>
          </w:tcPr>
          <w:p w14:paraId="4742895D" w14:textId="77777777" w:rsidR="0045415A" w:rsidRPr="00B703FB" w:rsidRDefault="0045415A" w:rsidP="00BC2E97">
            <w:pPr>
              <w:rPr>
                <w:sz w:val="22"/>
              </w:rPr>
            </w:pPr>
            <w:r w:rsidRPr="00B703FB">
              <w:rPr>
                <w:sz w:val="22"/>
              </w:rPr>
              <w:t>Schools can continue to engage supply staff during this period.  Supply staff can move between schools – they must comply with school’s risk assessments/information on safety arrangements and provide this information to supply staff as the booking is confirmed.</w:t>
            </w:r>
          </w:p>
          <w:p w14:paraId="5E9C89E7" w14:textId="77777777" w:rsidR="0045415A" w:rsidRPr="00B703FB" w:rsidRDefault="0045415A" w:rsidP="00BC2E97">
            <w:pPr>
              <w:rPr>
                <w:sz w:val="22"/>
              </w:rPr>
            </w:pPr>
          </w:p>
          <w:p w14:paraId="366349F2" w14:textId="77777777" w:rsidR="0045415A" w:rsidRPr="00B703FB" w:rsidRDefault="0045415A" w:rsidP="00BC2E97">
            <w:pPr>
              <w:rPr>
                <w:sz w:val="22"/>
              </w:rPr>
            </w:pPr>
            <w:r w:rsidRPr="00B703FB">
              <w:rPr>
                <w:sz w:val="22"/>
              </w:rPr>
              <w:t>Schools can continue to engage peripatetic teachers during this period, including staff from music education hubs.</w:t>
            </w:r>
          </w:p>
          <w:p w14:paraId="1A189964" w14:textId="77777777" w:rsidR="0045415A" w:rsidRPr="00B703FB" w:rsidRDefault="0045415A" w:rsidP="00BC2E97">
            <w:pPr>
              <w:rPr>
                <w:sz w:val="22"/>
              </w:rPr>
            </w:pPr>
          </w:p>
          <w:p w14:paraId="3CC147F4" w14:textId="77777777" w:rsidR="0045415A" w:rsidRPr="00B703FB" w:rsidRDefault="0045415A" w:rsidP="00BC2E97">
            <w:pPr>
              <w:rPr>
                <w:sz w:val="22"/>
              </w:rPr>
            </w:pPr>
            <w:r w:rsidRPr="00B703FB">
              <w:rPr>
                <w:sz w:val="22"/>
              </w:rPr>
              <w:t>Volunteers may be used to support the work of the school, as would usually be the case, subject to checking and risk assessment process</w:t>
            </w:r>
          </w:p>
          <w:p w14:paraId="5DF21F13" w14:textId="77777777" w:rsidR="0045415A" w:rsidRPr="00B703FB" w:rsidRDefault="0045415A" w:rsidP="00BC2E97">
            <w:pPr>
              <w:rPr>
                <w:sz w:val="22"/>
              </w:rPr>
            </w:pPr>
          </w:p>
        </w:tc>
      </w:tr>
      <w:tr w:rsidR="0045415A" w:rsidRPr="00CF1434" w14:paraId="3B0A86B9" w14:textId="77777777" w:rsidTr="00345E5D">
        <w:tc>
          <w:tcPr>
            <w:tcW w:w="1604" w:type="dxa"/>
            <w:gridSpan w:val="2"/>
            <w:shd w:val="clear" w:color="auto" w:fill="CCC0D9" w:themeFill="accent4" w:themeFillTint="66"/>
          </w:tcPr>
          <w:p w14:paraId="6C03AC23" w14:textId="77777777" w:rsidR="0045415A" w:rsidRPr="00B703FB" w:rsidRDefault="0045415A" w:rsidP="00BC2E97">
            <w:pPr>
              <w:rPr>
                <w:rFonts w:cstheme="minorHAnsi"/>
                <w:b/>
                <w:bCs/>
                <w:sz w:val="22"/>
              </w:rPr>
            </w:pPr>
            <w:r w:rsidRPr="00B703FB">
              <w:rPr>
                <w:rFonts w:cstheme="minorHAnsi"/>
                <w:b/>
                <w:bCs/>
                <w:sz w:val="22"/>
              </w:rPr>
              <w:lastRenderedPageBreak/>
              <w:t>ITT</w:t>
            </w:r>
          </w:p>
        </w:tc>
        <w:tc>
          <w:tcPr>
            <w:tcW w:w="12708" w:type="dxa"/>
          </w:tcPr>
          <w:p w14:paraId="00A28A6B" w14:textId="77777777" w:rsidR="0045415A" w:rsidRDefault="0045415A" w:rsidP="00BC2E97">
            <w:pPr>
              <w:rPr>
                <w:sz w:val="22"/>
              </w:rPr>
            </w:pPr>
            <w:r w:rsidRPr="00B703FB">
              <w:rPr>
                <w:sz w:val="22"/>
              </w:rPr>
              <w:t>We strongly encourage schools to continue hosting initial teacher training (ITT) trainees throughout the national lockdown and beyond</w:t>
            </w:r>
            <w:r w:rsidR="00E17E3A">
              <w:rPr>
                <w:sz w:val="22"/>
              </w:rPr>
              <w:t>.</w:t>
            </w:r>
          </w:p>
          <w:p w14:paraId="7D9AE9DC" w14:textId="2FAFA6E6" w:rsidR="000E12A4" w:rsidRPr="00B703FB" w:rsidRDefault="000E12A4" w:rsidP="00BC2E97">
            <w:pPr>
              <w:rPr>
                <w:sz w:val="22"/>
              </w:rPr>
            </w:pPr>
          </w:p>
        </w:tc>
      </w:tr>
      <w:tr w:rsidR="0045415A" w:rsidRPr="00CF1434" w14:paraId="0F5AEA7F" w14:textId="77777777" w:rsidTr="00345E5D">
        <w:tc>
          <w:tcPr>
            <w:tcW w:w="1604" w:type="dxa"/>
            <w:gridSpan w:val="2"/>
            <w:tcBorders>
              <w:bottom w:val="single" w:sz="4" w:space="0" w:color="auto"/>
            </w:tcBorders>
            <w:shd w:val="clear" w:color="auto" w:fill="CCC0D9" w:themeFill="accent4" w:themeFillTint="66"/>
          </w:tcPr>
          <w:p w14:paraId="1DDF2CF8" w14:textId="77777777" w:rsidR="0045415A" w:rsidRPr="00B703FB" w:rsidRDefault="0045415A" w:rsidP="00BC2E97">
            <w:pPr>
              <w:rPr>
                <w:rFonts w:cstheme="minorHAnsi"/>
                <w:b/>
                <w:bCs/>
                <w:sz w:val="22"/>
              </w:rPr>
            </w:pPr>
            <w:r w:rsidRPr="00B703FB">
              <w:rPr>
                <w:rFonts w:cstheme="minorHAnsi"/>
                <w:b/>
                <w:bCs/>
                <w:sz w:val="22"/>
              </w:rPr>
              <w:t>Performance Management and Appraisal</w:t>
            </w:r>
          </w:p>
        </w:tc>
        <w:tc>
          <w:tcPr>
            <w:tcW w:w="12708" w:type="dxa"/>
            <w:tcBorders>
              <w:bottom w:val="single" w:sz="4" w:space="0" w:color="auto"/>
            </w:tcBorders>
          </w:tcPr>
          <w:p w14:paraId="15CCDDB2" w14:textId="77777777" w:rsidR="0045415A" w:rsidRDefault="0045415A" w:rsidP="00BC2E97">
            <w:pPr>
              <w:rPr>
                <w:sz w:val="22"/>
              </w:rPr>
            </w:pPr>
            <w:r w:rsidRPr="00B703FB">
              <w:rPr>
                <w:sz w:val="22"/>
              </w:rPr>
              <w:t>Maintained schools must continue to adhere to the School Teachers’ Pay and Conditions Document (STPCD), which includes the requirement to ensure that all pay progression for teachers is linked to performance management.  Expectation that schools will use discretion, be pragmatic and ensure teachers are not penalised.</w:t>
            </w:r>
          </w:p>
          <w:p w14:paraId="6F61A098" w14:textId="77777777" w:rsidR="0045415A" w:rsidRPr="00B703FB" w:rsidRDefault="0045415A" w:rsidP="00BC2E97">
            <w:pPr>
              <w:rPr>
                <w:sz w:val="22"/>
              </w:rPr>
            </w:pPr>
          </w:p>
        </w:tc>
      </w:tr>
      <w:tr w:rsidR="000E12A4" w:rsidRPr="00CF1434" w14:paraId="2FF1F2D5" w14:textId="77777777" w:rsidTr="00DC3EC6">
        <w:tc>
          <w:tcPr>
            <w:tcW w:w="14312" w:type="dxa"/>
            <w:gridSpan w:val="3"/>
            <w:tcBorders>
              <w:left w:val="nil"/>
              <w:right w:val="nil"/>
            </w:tcBorders>
            <w:shd w:val="clear" w:color="auto" w:fill="auto"/>
          </w:tcPr>
          <w:p w14:paraId="63315BDF" w14:textId="77777777" w:rsidR="000E12A4" w:rsidRDefault="000E12A4">
            <w:pPr>
              <w:rPr>
                <w:rFonts w:cstheme="minorHAnsi"/>
                <w:b/>
                <w:bCs/>
                <w:sz w:val="22"/>
              </w:rPr>
            </w:pPr>
          </w:p>
          <w:p w14:paraId="779E5BF1" w14:textId="0C1AA80C" w:rsidR="000E12A4" w:rsidRDefault="000E12A4">
            <w:pPr>
              <w:rPr>
                <w:rFonts w:cstheme="minorHAnsi"/>
                <w:b/>
                <w:bCs/>
                <w:sz w:val="22"/>
              </w:rPr>
            </w:pPr>
            <w:r>
              <w:rPr>
                <w:rFonts w:cstheme="minorHAnsi"/>
                <w:b/>
                <w:bCs/>
                <w:sz w:val="22"/>
              </w:rPr>
              <w:t>Guidance</w:t>
            </w:r>
            <w:r w:rsidR="003B1ED4">
              <w:rPr>
                <w:rFonts w:cstheme="minorHAnsi"/>
                <w:b/>
                <w:bCs/>
                <w:sz w:val="22"/>
              </w:rPr>
              <w:t xml:space="preserve"> and Actions </w:t>
            </w:r>
            <w:r>
              <w:rPr>
                <w:rFonts w:cstheme="minorHAnsi"/>
                <w:b/>
                <w:bCs/>
                <w:sz w:val="22"/>
              </w:rPr>
              <w:t>on Other Areas</w:t>
            </w:r>
          </w:p>
          <w:p w14:paraId="3E7BD6F3" w14:textId="77777777" w:rsidR="000E12A4" w:rsidRPr="00B703FB" w:rsidRDefault="000E12A4">
            <w:pPr>
              <w:rPr>
                <w:sz w:val="22"/>
              </w:rPr>
            </w:pPr>
          </w:p>
        </w:tc>
      </w:tr>
      <w:tr w:rsidR="00D26583" w:rsidRPr="00CF1434" w14:paraId="3A42F53D" w14:textId="77777777" w:rsidTr="00345E5D">
        <w:tc>
          <w:tcPr>
            <w:tcW w:w="1604" w:type="dxa"/>
            <w:gridSpan w:val="2"/>
            <w:shd w:val="clear" w:color="auto" w:fill="CCC0D9" w:themeFill="accent4" w:themeFillTint="66"/>
          </w:tcPr>
          <w:p w14:paraId="6AC901DA" w14:textId="6267FE1A" w:rsidR="00D26583" w:rsidRPr="00B703FB" w:rsidRDefault="00D26583">
            <w:pPr>
              <w:rPr>
                <w:rFonts w:cstheme="minorHAnsi"/>
                <w:b/>
                <w:bCs/>
                <w:sz w:val="22"/>
              </w:rPr>
            </w:pPr>
            <w:r w:rsidRPr="00B703FB">
              <w:rPr>
                <w:rFonts w:cstheme="minorHAnsi"/>
                <w:b/>
                <w:bCs/>
                <w:sz w:val="22"/>
              </w:rPr>
              <w:t>Estates</w:t>
            </w:r>
          </w:p>
        </w:tc>
        <w:tc>
          <w:tcPr>
            <w:tcW w:w="12708" w:type="dxa"/>
          </w:tcPr>
          <w:p w14:paraId="7D029A5A" w14:textId="77777777" w:rsidR="00D26583" w:rsidRPr="00B703FB" w:rsidRDefault="00D26583">
            <w:pPr>
              <w:rPr>
                <w:sz w:val="22"/>
              </w:rPr>
            </w:pPr>
            <w:r w:rsidRPr="00B703FB">
              <w:rPr>
                <w:sz w:val="22"/>
              </w:rPr>
              <w:t>Fire safety management plans should be reviewed and checked in line with operational changes.</w:t>
            </w:r>
          </w:p>
          <w:p w14:paraId="59DF4BB7" w14:textId="77777777" w:rsidR="00D26583" w:rsidRPr="00B703FB" w:rsidRDefault="00D26583">
            <w:pPr>
              <w:rPr>
                <w:sz w:val="22"/>
              </w:rPr>
            </w:pPr>
          </w:p>
          <w:p w14:paraId="0C07AF9B" w14:textId="77777777" w:rsidR="00D26583" w:rsidRPr="00B703FB" w:rsidRDefault="00D26583">
            <w:pPr>
              <w:rPr>
                <w:sz w:val="22"/>
              </w:rPr>
            </w:pPr>
            <w:r w:rsidRPr="00B703FB">
              <w:rPr>
                <w:sz w:val="22"/>
              </w:rPr>
              <w:t xml:space="preserve">Advice on the risk of Legionnaires disease due to water stagnation can be found in the </w:t>
            </w:r>
            <w:hyperlink r:id="rId25" w:history="1">
              <w:r w:rsidRPr="00B703FB">
                <w:rPr>
                  <w:rStyle w:val="Hyperlink"/>
                  <w:sz w:val="22"/>
                </w:rPr>
                <w:t>guidance on legionella risks during the coronavirus outbreak</w:t>
              </w:r>
            </w:hyperlink>
          </w:p>
          <w:p w14:paraId="3C58EB2D" w14:textId="12CE3659" w:rsidR="00A90C8F" w:rsidRPr="00B703FB" w:rsidRDefault="00A90C8F">
            <w:pPr>
              <w:rPr>
                <w:sz w:val="22"/>
              </w:rPr>
            </w:pPr>
          </w:p>
        </w:tc>
      </w:tr>
      <w:tr w:rsidR="00D26583" w:rsidRPr="00CF1434" w14:paraId="5E125B1C" w14:textId="77777777" w:rsidTr="00345E5D">
        <w:tc>
          <w:tcPr>
            <w:tcW w:w="1604" w:type="dxa"/>
            <w:gridSpan w:val="2"/>
            <w:shd w:val="clear" w:color="auto" w:fill="CCC0D9" w:themeFill="accent4" w:themeFillTint="66"/>
          </w:tcPr>
          <w:p w14:paraId="227B1E61" w14:textId="40225BD0" w:rsidR="00D26583" w:rsidRPr="00B703FB" w:rsidRDefault="00D26583">
            <w:pPr>
              <w:rPr>
                <w:rFonts w:cstheme="minorHAnsi"/>
                <w:b/>
                <w:bCs/>
                <w:sz w:val="22"/>
              </w:rPr>
            </w:pPr>
            <w:r w:rsidRPr="00B703FB">
              <w:rPr>
                <w:rFonts w:cstheme="minorHAnsi"/>
                <w:b/>
                <w:bCs/>
                <w:sz w:val="22"/>
              </w:rPr>
              <w:t>Educational Visits</w:t>
            </w:r>
          </w:p>
        </w:tc>
        <w:tc>
          <w:tcPr>
            <w:tcW w:w="12708" w:type="dxa"/>
          </w:tcPr>
          <w:p w14:paraId="68494614" w14:textId="2EF70A4D" w:rsidR="00D26583" w:rsidRPr="00B703FB" w:rsidRDefault="00D26583">
            <w:pPr>
              <w:rPr>
                <w:sz w:val="22"/>
              </w:rPr>
            </w:pPr>
            <w:r w:rsidRPr="00B703FB">
              <w:rPr>
                <w:sz w:val="22"/>
              </w:rPr>
              <w:t xml:space="preserve">We advise against educational visits </w:t>
            </w:r>
            <w:proofErr w:type="gramStart"/>
            <w:r w:rsidRPr="00B703FB">
              <w:rPr>
                <w:sz w:val="22"/>
              </w:rPr>
              <w:t>at this time</w:t>
            </w:r>
            <w:proofErr w:type="gramEnd"/>
            <w:r w:rsidRPr="00B703FB">
              <w:rPr>
                <w:sz w:val="22"/>
              </w:rPr>
              <w:t>. This advice will be kept under review.</w:t>
            </w:r>
          </w:p>
        </w:tc>
      </w:tr>
      <w:tr w:rsidR="00D26583" w:rsidRPr="00CF1434" w14:paraId="1439313D" w14:textId="77777777" w:rsidTr="00345E5D">
        <w:tc>
          <w:tcPr>
            <w:tcW w:w="1604" w:type="dxa"/>
            <w:gridSpan w:val="2"/>
            <w:shd w:val="clear" w:color="auto" w:fill="CCC0D9" w:themeFill="accent4" w:themeFillTint="66"/>
          </w:tcPr>
          <w:p w14:paraId="43EE5D44" w14:textId="5A71525E" w:rsidR="00D26583" w:rsidRPr="00B703FB" w:rsidRDefault="00D26583" w:rsidP="00A90C8F">
            <w:pPr>
              <w:rPr>
                <w:rFonts w:cstheme="minorHAnsi"/>
                <w:b/>
                <w:bCs/>
                <w:sz w:val="22"/>
              </w:rPr>
            </w:pPr>
            <w:r w:rsidRPr="00B703FB">
              <w:rPr>
                <w:rFonts w:cstheme="minorHAnsi"/>
                <w:b/>
                <w:bCs/>
                <w:sz w:val="22"/>
              </w:rPr>
              <w:t>School Uniform</w:t>
            </w:r>
          </w:p>
        </w:tc>
        <w:tc>
          <w:tcPr>
            <w:tcW w:w="12708" w:type="dxa"/>
          </w:tcPr>
          <w:p w14:paraId="630B56C4" w14:textId="450C7911" w:rsidR="00BC358C" w:rsidRPr="00B703FB" w:rsidRDefault="00D26583">
            <w:pPr>
              <w:rPr>
                <w:sz w:val="22"/>
              </w:rPr>
            </w:pPr>
            <w:r w:rsidRPr="00B703FB">
              <w:rPr>
                <w:sz w:val="22"/>
              </w:rPr>
              <w:t>Some schools may feel it is appropriate to relax their uniform policy whilst only certain categories of pupils are attending. This is a decision for school leaders.</w:t>
            </w:r>
          </w:p>
          <w:p w14:paraId="2A7CE3BA" w14:textId="1DE8746C" w:rsidR="00A90C8F" w:rsidRPr="00B703FB" w:rsidRDefault="00A90C8F">
            <w:pPr>
              <w:rPr>
                <w:sz w:val="22"/>
              </w:rPr>
            </w:pPr>
          </w:p>
        </w:tc>
      </w:tr>
      <w:tr w:rsidR="00D26583" w:rsidRPr="00CF1434" w14:paraId="7E59AE3B" w14:textId="77777777" w:rsidTr="00345E5D">
        <w:tc>
          <w:tcPr>
            <w:tcW w:w="1604" w:type="dxa"/>
            <w:gridSpan w:val="2"/>
            <w:shd w:val="clear" w:color="auto" w:fill="CCC0D9" w:themeFill="accent4" w:themeFillTint="66"/>
          </w:tcPr>
          <w:p w14:paraId="392F5433" w14:textId="143F17F4" w:rsidR="00D26583" w:rsidRPr="00B703FB" w:rsidRDefault="00A90C8F" w:rsidP="00A90C8F">
            <w:pPr>
              <w:rPr>
                <w:rFonts w:cstheme="minorHAnsi"/>
                <w:b/>
                <w:bCs/>
                <w:sz w:val="22"/>
              </w:rPr>
            </w:pPr>
            <w:r w:rsidRPr="00B703FB">
              <w:rPr>
                <w:rFonts w:cstheme="minorHAnsi"/>
                <w:b/>
                <w:bCs/>
                <w:sz w:val="22"/>
              </w:rPr>
              <w:t>Music, dance and drama</w:t>
            </w:r>
          </w:p>
        </w:tc>
        <w:tc>
          <w:tcPr>
            <w:tcW w:w="12708" w:type="dxa"/>
          </w:tcPr>
          <w:p w14:paraId="4127E1F0" w14:textId="77777777" w:rsidR="00D26583" w:rsidRPr="00B703FB" w:rsidRDefault="00A90C8F">
            <w:pPr>
              <w:rPr>
                <w:sz w:val="22"/>
              </w:rPr>
            </w:pPr>
            <w:r w:rsidRPr="00B703FB">
              <w:rPr>
                <w:sz w:val="22"/>
              </w:rPr>
              <w:t>Schools have the flexibility to decide how music, dance and drama will be provided to pupils attending school while following the measures in their system of controls.</w:t>
            </w:r>
          </w:p>
          <w:p w14:paraId="32F77752" w14:textId="77777777" w:rsidR="00A90C8F" w:rsidRPr="00B703FB" w:rsidRDefault="00A90C8F">
            <w:pPr>
              <w:rPr>
                <w:sz w:val="22"/>
              </w:rPr>
            </w:pPr>
          </w:p>
          <w:p w14:paraId="1D30CD70" w14:textId="113A15E7" w:rsidR="00A90C8F" w:rsidRDefault="00A90C8F">
            <w:pPr>
              <w:rPr>
                <w:sz w:val="22"/>
              </w:rPr>
            </w:pPr>
            <w:r w:rsidRPr="00B703FB">
              <w:rPr>
                <w:sz w:val="22"/>
              </w:rPr>
              <w:t>Schools should not host any performances with an audience.</w:t>
            </w:r>
          </w:p>
          <w:p w14:paraId="7C670160" w14:textId="77777777" w:rsidR="000E12A4" w:rsidRPr="00B703FB" w:rsidRDefault="000E12A4">
            <w:pPr>
              <w:rPr>
                <w:sz w:val="22"/>
              </w:rPr>
            </w:pPr>
          </w:p>
          <w:p w14:paraId="5AB827D2" w14:textId="16ACC480" w:rsidR="00A90C8F" w:rsidRDefault="00A90C8F">
            <w:pPr>
              <w:rPr>
                <w:sz w:val="22"/>
              </w:rPr>
            </w:pPr>
            <w:r w:rsidRPr="00C76771">
              <w:rPr>
                <w:sz w:val="22"/>
              </w:rPr>
              <w:t>When planning music provision, schools should consider additional specific safety measures.</w:t>
            </w:r>
            <w:r w:rsidR="0055428A" w:rsidRPr="00C76771">
              <w:rPr>
                <w:sz w:val="22"/>
              </w:rPr>
              <w:t xml:space="preserve">  </w:t>
            </w:r>
          </w:p>
          <w:p w14:paraId="076D4062" w14:textId="054B94C5" w:rsidR="00C76771" w:rsidRDefault="00C76771">
            <w:pPr>
              <w:rPr>
                <w:sz w:val="22"/>
              </w:rPr>
            </w:pPr>
          </w:p>
          <w:p w14:paraId="3F9700A4" w14:textId="30C22683" w:rsidR="00C76771" w:rsidRDefault="00C76771">
            <w:pPr>
              <w:rPr>
                <w:sz w:val="22"/>
                <w:szCs w:val="20"/>
              </w:rPr>
            </w:pPr>
            <w:r w:rsidRPr="00C76771">
              <w:rPr>
                <w:sz w:val="22"/>
                <w:szCs w:val="20"/>
              </w:rPr>
              <w:t>Individual lessons in music, dance and drama can continue, led by a member of staff from the school or peripatetic teacher. This may mean teachers interacting with pupils from multiple groups, so schools will need to take particular care, in line with measures set out above on peripatetic teachers.</w:t>
            </w:r>
          </w:p>
          <w:p w14:paraId="67BDFB2C" w14:textId="7445F469" w:rsidR="00A90C8F" w:rsidRPr="00B703FB" w:rsidRDefault="00A90C8F" w:rsidP="00C76771">
            <w:pPr>
              <w:rPr>
                <w:sz w:val="22"/>
              </w:rPr>
            </w:pPr>
          </w:p>
        </w:tc>
      </w:tr>
      <w:tr w:rsidR="00D26583" w:rsidRPr="00CF1434" w14:paraId="2DA7E4CD" w14:textId="77777777" w:rsidTr="00345E5D">
        <w:tc>
          <w:tcPr>
            <w:tcW w:w="1604" w:type="dxa"/>
            <w:gridSpan w:val="2"/>
            <w:shd w:val="clear" w:color="auto" w:fill="CCC0D9" w:themeFill="accent4" w:themeFillTint="66"/>
          </w:tcPr>
          <w:p w14:paraId="13DA2BE4" w14:textId="7E3A5FC7" w:rsidR="00D26583" w:rsidRPr="00CE4765" w:rsidRDefault="00C76771" w:rsidP="00A90C8F">
            <w:pPr>
              <w:rPr>
                <w:rFonts w:cstheme="minorHAnsi"/>
                <w:b/>
                <w:bCs/>
                <w:sz w:val="22"/>
              </w:rPr>
            </w:pPr>
            <w:r w:rsidRPr="00CE4765">
              <w:rPr>
                <w:rFonts w:cstheme="minorHAnsi"/>
                <w:b/>
                <w:bCs/>
                <w:sz w:val="22"/>
              </w:rPr>
              <w:t>Physical activity in schools</w:t>
            </w:r>
          </w:p>
        </w:tc>
        <w:tc>
          <w:tcPr>
            <w:tcW w:w="12708" w:type="dxa"/>
          </w:tcPr>
          <w:p w14:paraId="14D82BEF" w14:textId="77777777" w:rsidR="00D26583" w:rsidRPr="00CE4765" w:rsidRDefault="00C76771">
            <w:pPr>
              <w:rPr>
                <w:sz w:val="22"/>
                <w:szCs w:val="20"/>
              </w:rPr>
            </w:pPr>
            <w:r w:rsidRPr="00CE4765">
              <w:rPr>
                <w:sz w:val="22"/>
                <w:szCs w:val="20"/>
              </w:rPr>
              <w:t>Schools have the flexibility to decide how physical education, sport and physical activity will be provided to pupils attending school while following the measures in their system of controls.</w:t>
            </w:r>
          </w:p>
          <w:p w14:paraId="3C3BB674" w14:textId="77777777" w:rsidR="00C76771" w:rsidRPr="00CE4765" w:rsidRDefault="00C76771">
            <w:pPr>
              <w:rPr>
                <w:sz w:val="22"/>
                <w:szCs w:val="20"/>
              </w:rPr>
            </w:pPr>
          </w:p>
          <w:p w14:paraId="33DE10A6" w14:textId="77777777" w:rsidR="00C76771" w:rsidRDefault="00C76771">
            <w:pPr>
              <w:rPr>
                <w:sz w:val="22"/>
                <w:szCs w:val="20"/>
              </w:rPr>
            </w:pPr>
            <w:r w:rsidRPr="00CE4765">
              <w:rPr>
                <w:sz w:val="22"/>
                <w:szCs w:val="20"/>
              </w:rPr>
              <w:lastRenderedPageBreak/>
              <w:t>Activities such as active miles, making break times and lessons active and encouraging active travel help to enable pupils to be physically active while encouraging physical distancing.</w:t>
            </w:r>
          </w:p>
          <w:p w14:paraId="33D280E7" w14:textId="080145C3" w:rsidR="00CE4765" w:rsidRPr="00CE4765" w:rsidRDefault="00CE4765">
            <w:pPr>
              <w:rPr>
                <w:sz w:val="22"/>
                <w:szCs w:val="20"/>
              </w:rPr>
            </w:pPr>
          </w:p>
        </w:tc>
      </w:tr>
      <w:tr w:rsidR="00D26583" w:rsidRPr="00CF1434" w14:paraId="7D686910" w14:textId="77777777" w:rsidTr="00345E5D">
        <w:tc>
          <w:tcPr>
            <w:tcW w:w="1604" w:type="dxa"/>
            <w:gridSpan w:val="2"/>
            <w:shd w:val="clear" w:color="auto" w:fill="CCC0D9" w:themeFill="accent4" w:themeFillTint="66"/>
          </w:tcPr>
          <w:p w14:paraId="0F3E2C6E" w14:textId="0294FC91" w:rsidR="00D26583" w:rsidRPr="00CE4765" w:rsidRDefault="0073123A" w:rsidP="00A90C8F">
            <w:pPr>
              <w:rPr>
                <w:rFonts w:cstheme="minorHAnsi"/>
                <w:b/>
                <w:bCs/>
                <w:sz w:val="22"/>
              </w:rPr>
            </w:pPr>
            <w:r w:rsidRPr="00CE4765">
              <w:rPr>
                <w:rFonts w:cstheme="minorHAnsi"/>
                <w:b/>
                <w:bCs/>
                <w:sz w:val="22"/>
              </w:rPr>
              <w:lastRenderedPageBreak/>
              <w:t>Pupil well-being and support</w:t>
            </w:r>
          </w:p>
        </w:tc>
        <w:tc>
          <w:tcPr>
            <w:tcW w:w="12708" w:type="dxa"/>
          </w:tcPr>
          <w:p w14:paraId="64777C6E" w14:textId="77777777" w:rsidR="0073123A" w:rsidRPr="00CE4765" w:rsidRDefault="0073123A">
            <w:pPr>
              <w:rPr>
                <w:sz w:val="22"/>
                <w:szCs w:val="20"/>
              </w:rPr>
            </w:pPr>
            <w:r w:rsidRPr="00CE4765">
              <w:rPr>
                <w:sz w:val="22"/>
                <w:szCs w:val="20"/>
              </w:rPr>
              <w:t xml:space="preserve">Schools should consider the provision of pastoral and extra-curricular activities to all pupils, including those learning at home (for example through online activities and assemblies), designed to: </w:t>
            </w:r>
          </w:p>
          <w:p w14:paraId="56CAA6B0" w14:textId="77777777" w:rsidR="0073123A" w:rsidRPr="00CE4765" w:rsidRDefault="0073123A" w:rsidP="0073123A">
            <w:pPr>
              <w:pStyle w:val="ListParagraph"/>
              <w:numPr>
                <w:ilvl w:val="0"/>
                <w:numId w:val="16"/>
              </w:numPr>
              <w:rPr>
                <w:sz w:val="22"/>
                <w:szCs w:val="20"/>
              </w:rPr>
            </w:pPr>
            <w:r w:rsidRPr="00CE4765">
              <w:rPr>
                <w:sz w:val="22"/>
                <w:szCs w:val="20"/>
              </w:rPr>
              <w:t xml:space="preserve">Support social engagement and maintaining friendships </w:t>
            </w:r>
          </w:p>
          <w:p w14:paraId="696A8DDB" w14:textId="77777777" w:rsidR="00D26583" w:rsidRPr="00CE4765" w:rsidRDefault="0073123A" w:rsidP="0073123A">
            <w:pPr>
              <w:pStyle w:val="ListParagraph"/>
              <w:numPr>
                <w:ilvl w:val="0"/>
                <w:numId w:val="16"/>
              </w:numPr>
              <w:rPr>
                <w:sz w:val="22"/>
                <w:szCs w:val="20"/>
              </w:rPr>
            </w:pPr>
            <w:r w:rsidRPr="00CE4765">
              <w:rPr>
                <w:sz w:val="22"/>
                <w:szCs w:val="20"/>
              </w:rPr>
              <w:t>Address and equip pupils to respond to issues linked to coronavirus (COVID-19)</w:t>
            </w:r>
          </w:p>
          <w:p w14:paraId="7964E16D" w14:textId="77777777" w:rsidR="0073123A" w:rsidRPr="00CE4765" w:rsidRDefault="0073123A" w:rsidP="0073123A">
            <w:pPr>
              <w:pStyle w:val="ListParagraph"/>
              <w:numPr>
                <w:ilvl w:val="0"/>
                <w:numId w:val="16"/>
              </w:numPr>
              <w:rPr>
                <w:sz w:val="22"/>
                <w:szCs w:val="20"/>
              </w:rPr>
            </w:pPr>
            <w:r w:rsidRPr="00CE4765">
              <w:rPr>
                <w:sz w:val="22"/>
                <w:szCs w:val="20"/>
              </w:rPr>
              <w:t>Support pupils with approaches to improving their physical and mental wellbeing</w:t>
            </w:r>
          </w:p>
          <w:p w14:paraId="4D5EE2D6" w14:textId="77777777" w:rsidR="0073123A" w:rsidRPr="00CE4765" w:rsidRDefault="0073123A" w:rsidP="0073123A">
            <w:pPr>
              <w:rPr>
                <w:sz w:val="22"/>
                <w:szCs w:val="20"/>
              </w:rPr>
            </w:pPr>
          </w:p>
          <w:p w14:paraId="7EBE536A" w14:textId="77777777" w:rsidR="0073123A" w:rsidRPr="00CE4765" w:rsidRDefault="0073123A" w:rsidP="0073123A">
            <w:pPr>
              <w:rPr>
                <w:sz w:val="22"/>
                <w:szCs w:val="20"/>
              </w:rPr>
            </w:pPr>
            <w:r w:rsidRPr="00CE4765">
              <w:rPr>
                <w:sz w:val="22"/>
                <w:szCs w:val="20"/>
              </w:rPr>
              <w:t xml:space="preserve">Schools should also provide more focused pastoral support where issues are identified that individual pupils may need help with, drawing on external support where necessary and possible.  Schools should also consider support needs of </w:t>
            </w:r>
            <w:proofErr w:type="gramStart"/>
            <w:r w:rsidRPr="00CE4765">
              <w:rPr>
                <w:sz w:val="22"/>
                <w:szCs w:val="20"/>
              </w:rPr>
              <w:t>particular groups</w:t>
            </w:r>
            <w:proofErr w:type="gramEnd"/>
            <w:r w:rsidRPr="00CE4765">
              <w:rPr>
                <w:sz w:val="22"/>
                <w:szCs w:val="20"/>
              </w:rPr>
              <w:t xml:space="preserve"> they are already aware need additional help. Schools should also make sure that parents and pupils are aware of who in the school to contact if they have a new concern about mental health and wellbeing.</w:t>
            </w:r>
          </w:p>
          <w:p w14:paraId="306CEDF0" w14:textId="77777777" w:rsidR="0073123A" w:rsidRPr="00CE4765" w:rsidRDefault="0073123A" w:rsidP="0073123A">
            <w:pPr>
              <w:rPr>
                <w:sz w:val="22"/>
                <w:szCs w:val="20"/>
              </w:rPr>
            </w:pPr>
          </w:p>
          <w:p w14:paraId="4C9BF026" w14:textId="322D2D2F" w:rsidR="0073123A" w:rsidRPr="00CE4765" w:rsidRDefault="0073123A" w:rsidP="0073123A">
            <w:pPr>
              <w:rPr>
                <w:sz w:val="22"/>
                <w:szCs w:val="20"/>
              </w:rPr>
            </w:pPr>
            <w:r w:rsidRPr="00CE4765">
              <w:rPr>
                <w:sz w:val="22"/>
                <w:szCs w:val="20"/>
              </w:rPr>
              <w:t xml:space="preserve">Where there is a concern a child is in need or suffering or likely to suffer from harm, the school should follow their child protection policy and part 1 of the statutory safeguarding guidance keeping children safe in education and consider any referral to statutory services (and the police) as appropriate. </w:t>
            </w:r>
          </w:p>
          <w:p w14:paraId="09F525AB" w14:textId="77777777" w:rsidR="0073123A" w:rsidRPr="00CE4765" w:rsidRDefault="0073123A" w:rsidP="0073123A">
            <w:pPr>
              <w:rPr>
                <w:sz w:val="22"/>
                <w:szCs w:val="20"/>
              </w:rPr>
            </w:pPr>
          </w:p>
          <w:p w14:paraId="0316D225" w14:textId="77777777" w:rsidR="0073123A" w:rsidRDefault="0073123A" w:rsidP="0073123A">
            <w:pPr>
              <w:rPr>
                <w:sz w:val="22"/>
                <w:szCs w:val="20"/>
              </w:rPr>
            </w:pPr>
            <w:r w:rsidRPr="00CE4765">
              <w:rPr>
                <w:sz w:val="22"/>
                <w:szCs w:val="20"/>
              </w:rPr>
              <w:t>Schools should consider how they are working with school nursing services to support the health and wellbeing of their pupils; school nursing services are continuing to offer support to pupils in school and working remotely</w:t>
            </w:r>
            <w:r w:rsidR="00CE4765">
              <w:rPr>
                <w:sz w:val="22"/>
                <w:szCs w:val="20"/>
              </w:rPr>
              <w:t>.</w:t>
            </w:r>
          </w:p>
          <w:p w14:paraId="5F3B34E0" w14:textId="735E48AC" w:rsidR="00CE4765" w:rsidRPr="00CE4765" w:rsidRDefault="00CE4765" w:rsidP="0073123A">
            <w:pPr>
              <w:rPr>
                <w:sz w:val="22"/>
                <w:szCs w:val="20"/>
              </w:rPr>
            </w:pPr>
          </w:p>
        </w:tc>
      </w:tr>
      <w:tr w:rsidR="001E6782" w:rsidRPr="00CF1434" w14:paraId="43FB57F1" w14:textId="77777777" w:rsidTr="00345E5D">
        <w:tc>
          <w:tcPr>
            <w:tcW w:w="1604" w:type="dxa"/>
            <w:gridSpan w:val="2"/>
            <w:shd w:val="clear" w:color="auto" w:fill="CCC0D9" w:themeFill="accent4" w:themeFillTint="66"/>
          </w:tcPr>
          <w:p w14:paraId="667CD08B" w14:textId="0D4B563D" w:rsidR="001E6782" w:rsidRPr="00CE4765" w:rsidRDefault="001E6782" w:rsidP="00A90C8F">
            <w:pPr>
              <w:rPr>
                <w:rFonts w:cstheme="minorHAnsi"/>
                <w:b/>
                <w:bCs/>
                <w:sz w:val="22"/>
              </w:rPr>
            </w:pPr>
            <w:r>
              <w:rPr>
                <w:rFonts w:cstheme="minorHAnsi"/>
                <w:b/>
                <w:bCs/>
                <w:sz w:val="22"/>
              </w:rPr>
              <w:t>Finance</w:t>
            </w:r>
          </w:p>
        </w:tc>
        <w:tc>
          <w:tcPr>
            <w:tcW w:w="12708" w:type="dxa"/>
          </w:tcPr>
          <w:p w14:paraId="671631BB" w14:textId="77777777" w:rsidR="001E6782" w:rsidRDefault="00A43C33">
            <w:pPr>
              <w:rPr>
                <w:rStyle w:val="Hyperlink"/>
                <w:sz w:val="22"/>
                <w:szCs w:val="20"/>
              </w:rPr>
            </w:pPr>
            <w:hyperlink r:id="rId26" w:history="1">
              <w:r w:rsidR="001E6782" w:rsidRPr="001E6782">
                <w:rPr>
                  <w:rStyle w:val="Hyperlink"/>
                  <w:sz w:val="22"/>
                  <w:szCs w:val="20"/>
                </w:rPr>
                <w:t>Coronavirus (COVID-19): financial support for education, early years and children’s social care</w:t>
              </w:r>
            </w:hyperlink>
            <w:bookmarkStart w:id="2" w:name="_GoBack"/>
            <w:bookmarkEnd w:id="2"/>
          </w:p>
          <w:p w14:paraId="5D59400F" w14:textId="1E380B4C" w:rsidR="001E6782" w:rsidRPr="00CE4765" w:rsidRDefault="001E6782">
            <w:pPr>
              <w:rPr>
                <w:sz w:val="22"/>
                <w:szCs w:val="20"/>
              </w:rPr>
            </w:pPr>
          </w:p>
        </w:tc>
      </w:tr>
    </w:tbl>
    <w:p w14:paraId="135BDEAF" w14:textId="77777777" w:rsidR="00B54FDC" w:rsidRPr="00874ADD" w:rsidRDefault="00B54FDC">
      <w:pPr>
        <w:rPr>
          <w:rFonts w:cstheme="minorHAnsi"/>
          <w:sz w:val="20"/>
          <w:szCs w:val="20"/>
        </w:rPr>
      </w:pPr>
    </w:p>
    <w:sectPr w:rsidR="00B54FDC" w:rsidRPr="00874ADD" w:rsidSect="00BC358C">
      <w:pgSz w:w="16838" w:h="11906" w:orient="landscape"/>
      <w:pgMar w:top="1134"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B01C0"/>
    <w:multiLevelType w:val="hybridMultilevel"/>
    <w:tmpl w:val="9CF02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342E1A"/>
    <w:multiLevelType w:val="hybridMultilevel"/>
    <w:tmpl w:val="8334D4C4"/>
    <w:lvl w:ilvl="0" w:tplc="1B40BCB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B7413A9"/>
    <w:multiLevelType w:val="hybridMultilevel"/>
    <w:tmpl w:val="CDD27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FA029E"/>
    <w:multiLevelType w:val="hybridMultilevel"/>
    <w:tmpl w:val="F050CB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0A26F75"/>
    <w:multiLevelType w:val="hybridMultilevel"/>
    <w:tmpl w:val="E01ABE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1013D1C"/>
    <w:multiLevelType w:val="hybridMultilevel"/>
    <w:tmpl w:val="D91C8A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75628F"/>
    <w:multiLevelType w:val="hybridMultilevel"/>
    <w:tmpl w:val="BE1A9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4873112"/>
    <w:multiLevelType w:val="hybridMultilevel"/>
    <w:tmpl w:val="9BACB1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AF56C9A"/>
    <w:multiLevelType w:val="hybridMultilevel"/>
    <w:tmpl w:val="7ADA9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24F566E"/>
    <w:multiLevelType w:val="hybridMultilevel"/>
    <w:tmpl w:val="F8880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91F50D8"/>
    <w:multiLevelType w:val="multilevel"/>
    <w:tmpl w:val="69C42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E652369"/>
    <w:multiLevelType w:val="hybridMultilevel"/>
    <w:tmpl w:val="A76209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75579EF"/>
    <w:multiLevelType w:val="hybridMultilevel"/>
    <w:tmpl w:val="64E87230"/>
    <w:lvl w:ilvl="0" w:tplc="28E0823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8706CBE"/>
    <w:multiLevelType w:val="hybridMultilevel"/>
    <w:tmpl w:val="E8ACA0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DB92AF5"/>
    <w:multiLevelType w:val="hybridMultilevel"/>
    <w:tmpl w:val="B776D2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F64315A"/>
    <w:multiLevelType w:val="multilevel"/>
    <w:tmpl w:val="114E3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B5300F4"/>
    <w:multiLevelType w:val="hybridMultilevel"/>
    <w:tmpl w:val="879600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16"/>
  </w:num>
  <w:num w:numId="3">
    <w:abstractNumId w:val="12"/>
  </w:num>
  <w:num w:numId="4">
    <w:abstractNumId w:val="4"/>
  </w:num>
  <w:num w:numId="5">
    <w:abstractNumId w:val="14"/>
  </w:num>
  <w:num w:numId="6">
    <w:abstractNumId w:val="3"/>
  </w:num>
  <w:num w:numId="7">
    <w:abstractNumId w:val="10"/>
  </w:num>
  <w:num w:numId="8">
    <w:abstractNumId w:val="15"/>
  </w:num>
  <w:num w:numId="9">
    <w:abstractNumId w:val="13"/>
  </w:num>
  <w:num w:numId="10">
    <w:abstractNumId w:val="11"/>
  </w:num>
  <w:num w:numId="11">
    <w:abstractNumId w:val="8"/>
  </w:num>
  <w:num w:numId="12">
    <w:abstractNumId w:val="9"/>
  </w:num>
  <w:num w:numId="13">
    <w:abstractNumId w:val="2"/>
  </w:num>
  <w:num w:numId="14">
    <w:abstractNumId w:val="5"/>
  </w:num>
  <w:num w:numId="15">
    <w:abstractNumId w:val="0"/>
  </w:num>
  <w:num w:numId="16">
    <w:abstractNumId w:val="6"/>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87"/>
  <w:drawingGridVerticalSpacing w:val="187"/>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186"/>
    <w:rsid w:val="0000628E"/>
    <w:rsid w:val="00045D4F"/>
    <w:rsid w:val="00054FCA"/>
    <w:rsid w:val="00073520"/>
    <w:rsid w:val="000E12A4"/>
    <w:rsid w:val="000E56C4"/>
    <w:rsid w:val="00122EDB"/>
    <w:rsid w:val="001237AA"/>
    <w:rsid w:val="001B37FA"/>
    <w:rsid w:val="001B4A1F"/>
    <w:rsid w:val="001B4A63"/>
    <w:rsid w:val="001E6782"/>
    <w:rsid w:val="001F29FA"/>
    <w:rsid w:val="001F4698"/>
    <w:rsid w:val="002145EA"/>
    <w:rsid w:val="00244DE0"/>
    <w:rsid w:val="00246E37"/>
    <w:rsid w:val="00267BA9"/>
    <w:rsid w:val="002945AB"/>
    <w:rsid w:val="002D2494"/>
    <w:rsid w:val="002F0228"/>
    <w:rsid w:val="0030250A"/>
    <w:rsid w:val="0030294E"/>
    <w:rsid w:val="00345E5D"/>
    <w:rsid w:val="003B1ED4"/>
    <w:rsid w:val="0045415A"/>
    <w:rsid w:val="004816E5"/>
    <w:rsid w:val="00481A84"/>
    <w:rsid w:val="00484047"/>
    <w:rsid w:val="004A7494"/>
    <w:rsid w:val="004B3975"/>
    <w:rsid w:val="00530BA6"/>
    <w:rsid w:val="0055428A"/>
    <w:rsid w:val="00572581"/>
    <w:rsid w:val="00597F74"/>
    <w:rsid w:val="005B548C"/>
    <w:rsid w:val="005B7EC0"/>
    <w:rsid w:val="005C2336"/>
    <w:rsid w:val="005E12C5"/>
    <w:rsid w:val="00615CC3"/>
    <w:rsid w:val="00632F4D"/>
    <w:rsid w:val="00653383"/>
    <w:rsid w:val="00661393"/>
    <w:rsid w:val="0068698F"/>
    <w:rsid w:val="0069307E"/>
    <w:rsid w:val="006A066E"/>
    <w:rsid w:val="0070172D"/>
    <w:rsid w:val="0073123A"/>
    <w:rsid w:val="00797363"/>
    <w:rsid w:val="007A24D7"/>
    <w:rsid w:val="007D7037"/>
    <w:rsid w:val="007E27CB"/>
    <w:rsid w:val="007E3EF4"/>
    <w:rsid w:val="008071B2"/>
    <w:rsid w:val="008155E4"/>
    <w:rsid w:val="008616F7"/>
    <w:rsid w:val="00874ADD"/>
    <w:rsid w:val="00897CE5"/>
    <w:rsid w:val="008B5B07"/>
    <w:rsid w:val="008C7D83"/>
    <w:rsid w:val="00903A67"/>
    <w:rsid w:val="009213A0"/>
    <w:rsid w:val="00923208"/>
    <w:rsid w:val="009D3274"/>
    <w:rsid w:val="00A23654"/>
    <w:rsid w:val="00A81359"/>
    <w:rsid w:val="00A83183"/>
    <w:rsid w:val="00A90C8F"/>
    <w:rsid w:val="00AA3420"/>
    <w:rsid w:val="00AA6655"/>
    <w:rsid w:val="00AE001A"/>
    <w:rsid w:val="00B0336F"/>
    <w:rsid w:val="00B54FDC"/>
    <w:rsid w:val="00B703FB"/>
    <w:rsid w:val="00BC358C"/>
    <w:rsid w:val="00BD384E"/>
    <w:rsid w:val="00BD4BF8"/>
    <w:rsid w:val="00BE4B82"/>
    <w:rsid w:val="00C50BF4"/>
    <w:rsid w:val="00C56A43"/>
    <w:rsid w:val="00C76771"/>
    <w:rsid w:val="00CB2936"/>
    <w:rsid w:val="00CB4E25"/>
    <w:rsid w:val="00CD7595"/>
    <w:rsid w:val="00CE4765"/>
    <w:rsid w:val="00CF1434"/>
    <w:rsid w:val="00CF248B"/>
    <w:rsid w:val="00D10886"/>
    <w:rsid w:val="00D13D7E"/>
    <w:rsid w:val="00D22186"/>
    <w:rsid w:val="00D26583"/>
    <w:rsid w:val="00D26C7F"/>
    <w:rsid w:val="00D67E56"/>
    <w:rsid w:val="00D74F3F"/>
    <w:rsid w:val="00DE0ADC"/>
    <w:rsid w:val="00E17E3A"/>
    <w:rsid w:val="00E32BE6"/>
    <w:rsid w:val="00E822DC"/>
    <w:rsid w:val="00EA6435"/>
    <w:rsid w:val="00ED0ADB"/>
    <w:rsid w:val="00EE153E"/>
    <w:rsid w:val="00F06C50"/>
    <w:rsid w:val="00F3415F"/>
    <w:rsid w:val="00F65444"/>
    <w:rsid w:val="00FB0FF0"/>
    <w:rsid w:val="00FE7A6D"/>
    <w:rsid w:val="00FF73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7E8CD"/>
  <w15:chartTrackingRefBased/>
  <w15:docId w15:val="{41767306-9E87-45E6-8227-2D7029E78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67E56"/>
    <w:rPr>
      <w:sz w:val="24"/>
    </w:rPr>
  </w:style>
  <w:style w:type="paragraph" w:styleId="Heading1">
    <w:name w:val="heading 1"/>
    <w:basedOn w:val="Normal"/>
    <w:next w:val="Normal"/>
    <w:link w:val="Heading1Char"/>
    <w:uiPriority w:val="9"/>
    <w:qFormat/>
    <w:rsid w:val="00E32BE6"/>
    <w:pPr>
      <w:keepNext/>
      <w:keepLines/>
      <w:spacing w:before="240"/>
      <w:outlineLvl w:val="0"/>
    </w:pPr>
    <w:rPr>
      <w:rFonts w:ascii="Calibri" w:eastAsiaTheme="majorEastAsia" w:hAnsi="Calibr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E32BE6"/>
    <w:pPr>
      <w:keepNext/>
      <w:keepLines/>
      <w:spacing w:before="40"/>
      <w:outlineLvl w:val="1"/>
    </w:pPr>
    <w:rPr>
      <w:rFonts w:ascii="Calibri" w:eastAsiaTheme="majorEastAsia" w:hAnsi="Calibr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E32BE6"/>
    <w:pPr>
      <w:keepNext/>
      <w:keepLines/>
      <w:spacing w:before="40"/>
      <w:outlineLvl w:val="2"/>
    </w:pPr>
    <w:rPr>
      <w:rFonts w:ascii="Calibri" w:eastAsiaTheme="majorEastAsia" w:hAnsi="Calibri" w:cstheme="majorBidi"/>
      <w:color w:val="243F60" w:themeColor="accent1" w:themeShade="7F"/>
      <w:szCs w:val="24"/>
    </w:rPr>
  </w:style>
  <w:style w:type="paragraph" w:styleId="Heading4">
    <w:name w:val="heading 4"/>
    <w:basedOn w:val="Normal"/>
    <w:next w:val="Normal"/>
    <w:link w:val="Heading4Char"/>
    <w:uiPriority w:val="9"/>
    <w:semiHidden/>
    <w:unhideWhenUsed/>
    <w:qFormat/>
    <w:rsid w:val="00E32BE6"/>
    <w:pPr>
      <w:keepNext/>
      <w:keepLines/>
      <w:spacing w:before="40"/>
      <w:outlineLvl w:val="3"/>
    </w:pPr>
    <w:rPr>
      <w:rFonts w:ascii="Calibri" w:eastAsiaTheme="majorEastAsia" w:hAnsi="Calibr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B4A1F"/>
    <w:rPr>
      <w:sz w:val="24"/>
    </w:rPr>
  </w:style>
  <w:style w:type="character" w:customStyle="1" w:styleId="Heading1Char">
    <w:name w:val="Heading 1 Char"/>
    <w:basedOn w:val="DefaultParagraphFont"/>
    <w:link w:val="Heading1"/>
    <w:uiPriority w:val="9"/>
    <w:rsid w:val="00E32BE6"/>
    <w:rPr>
      <w:rFonts w:ascii="Calibri" w:eastAsiaTheme="majorEastAsia" w:hAnsi="Calibri" w:cstheme="majorBidi"/>
      <w:color w:val="365F91" w:themeColor="accent1" w:themeShade="BF"/>
      <w:sz w:val="32"/>
      <w:szCs w:val="32"/>
    </w:rPr>
  </w:style>
  <w:style w:type="character" w:customStyle="1" w:styleId="Heading2Char">
    <w:name w:val="Heading 2 Char"/>
    <w:basedOn w:val="DefaultParagraphFont"/>
    <w:link w:val="Heading2"/>
    <w:uiPriority w:val="9"/>
    <w:rsid w:val="00E32BE6"/>
    <w:rPr>
      <w:rFonts w:ascii="Calibri" w:eastAsiaTheme="majorEastAsia" w:hAnsi="Calibri" w:cstheme="majorBidi"/>
      <w:color w:val="365F91" w:themeColor="accent1" w:themeShade="BF"/>
      <w:sz w:val="26"/>
      <w:szCs w:val="26"/>
    </w:rPr>
  </w:style>
  <w:style w:type="paragraph" w:styleId="Title">
    <w:name w:val="Title"/>
    <w:basedOn w:val="Normal"/>
    <w:next w:val="Normal"/>
    <w:link w:val="TitleChar"/>
    <w:uiPriority w:val="10"/>
    <w:qFormat/>
    <w:rsid w:val="00E32BE6"/>
    <w:pPr>
      <w:contextualSpacing/>
    </w:pPr>
    <w:rPr>
      <w:rFonts w:ascii="Calibri" w:eastAsiaTheme="majorEastAsia" w:hAnsi="Calibri" w:cstheme="majorBidi"/>
      <w:spacing w:val="-10"/>
      <w:kern w:val="28"/>
      <w:sz w:val="56"/>
      <w:szCs w:val="56"/>
    </w:rPr>
  </w:style>
  <w:style w:type="character" w:customStyle="1" w:styleId="TitleChar">
    <w:name w:val="Title Char"/>
    <w:basedOn w:val="DefaultParagraphFont"/>
    <w:link w:val="Title"/>
    <w:uiPriority w:val="10"/>
    <w:rsid w:val="00E32BE6"/>
    <w:rPr>
      <w:rFonts w:ascii="Calibri" w:eastAsiaTheme="majorEastAsia" w:hAnsi="Calibri" w:cstheme="majorBidi"/>
      <w:spacing w:val="-10"/>
      <w:kern w:val="28"/>
      <w:sz w:val="56"/>
      <w:szCs w:val="56"/>
    </w:rPr>
  </w:style>
  <w:style w:type="paragraph" w:styleId="Subtitle">
    <w:name w:val="Subtitle"/>
    <w:basedOn w:val="Normal"/>
    <w:next w:val="Normal"/>
    <w:link w:val="SubtitleChar"/>
    <w:uiPriority w:val="11"/>
    <w:qFormat/>
    <w:rsid w:val="00E32BE6"/>
    <w:pPr>
      <w:numPr>
        <w:ilvl w:val="1"/>
      </w:numPr>
      <w:spacing w:after="160"/>
    </w:pPr>
    <w:rPr>
      <w:rFonts w:ascii="Calibri" w:eastAsiaTheme="minorEastAsia" w:hAnsi="Calibri"/>
      <w:color w:val="5A5A5A" w:themeColor="text1" w:themeTint="A5"/>
      <w:spacing w:val="15"/>
      <w:sz w:val="22"/>
    </w:rPr>
  </w:style>
  <w:style w:type="character" w:customStyle="1" w:styleId="SubtitleChar">
    <w:name w:val="Subtitle Char"/>
    <w:basedOn w:val="DefaultParagraphFont"/>
    <w:link w:val="Subtitle"/>
    <w:uiPriority w:val="11"/>
    <w:rsid w:val="00E32BE6"/>
    <w:rPr>
      <w:rFonts w:ascii="Calibri" w:eastAsiaTheme="minorEastAsia" w:hAnsi="Calibri"/>
      <w:color w:val="5A5A5A" w:themeColor="text1" w:themeTint="A5"/>
      <w:spacing w:val="15"/>
    </w:rPr>
  </w:style>
  <w:style w:type="character" w:styleId="SubtleEmphasis">
    <w:name w:val="Subtle Emphasis"/>
    <w:basedOn w:val="DefaultParagraphFont"/>
    <w:uiPriority w:val="19"/>
    <w:qFormat/>
    <w:rsid w:val="001B4A1F"/>
    <w:rPr>
      <w:i/>
      <w:iCs/>
      <w:color w:val="404040" w:themeColor="text1" w:themeTint="BF"/>
    </w:rPr>
  </w:style>
  <w:style w:type="character" w:styleId="Emphasis">
    <w:name w:val="Emphasis"/>
    <w:basedOn w:val="DefaultParagraphFont"/>
    <w:uiPriority w:val="20"/>
    <w:qFormat/>
    <w:rsid w:val="001B4A1F"/>
    <w:rPr>
      <w:i/>
      <w:iCs/>
    </w:rPr>
  </w:style>
  <w:style w:type="character" w:styleId="IntenseEmphasis">
    <w:name w:val="Intense Emphasis"/>
    <w:basedOn w:val="DefaultParagraphFont"/>
    <w:uiPriority w:val="21"/>
    <w:qFormat/>
    <w:rsid w:val="001B4A1F"/>
    <w:rPr>
      <w:i/>
      <w:iCs/>
      <w:color w:val="4F81BD" w:themeColor="accent1"/>
    </w:rPr>
  </w:style>
  <w:style w:type="character" w:customStyle="1" w:styleId="Heading3Char">
    <w:name w:val="Heading 3 Char"/>
    <w:basedOn w:val="DefaultParagraphFont"/>
    <w:link w:val="Heading3"/>
    <w:uiPriority w:val="9"/>
    <w:rsid w:val="00E32BE6"/>
    <w:rPr>
      <w:rFonts w:ascii="Calibri" w:eastAsiaTheme="majorEastAsia" w:hAnsi="Calibr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E32BE6"/>
    <w:rPr>
      <w:rFonts w:ascii="Calibri" w:eastAsiaTheme="majorEastAsia" w:hAnsi="Calibri" w:cstheme="majorBidi"/>
      <w:i/>
      <w:iCs/>
      <w:color w:val="365F91" w:themeColor="accent1" w:themeShade="BF"/>
      <w:sz w:val="24"/>
    </w:rPr>
  </w:style>
  <w:style w:type="table" w:styleId="TableGrid">
    <w:name w:val="Table Grid"/>
    <w:basedOn w:val="TableNormal"/>
    <w:uiPriority w:val="59"/>
    <w:rsid w:val="00D221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22186"/>
    <w:rPr>
      <w:color w:val="0000FF"/>
      <w:u w:val="single"/>
    </w:rPr>
  </w:style>
  <w:style w:type="paragraph" w:styleId="NormalWeb">
    <w:name w:val="Normal (Web)"/>
    <w:basedOn w:val="Normal"/>
    <w:uiPriority w:val="99"/>
    <w:unhideWhenUsed/>
    <w:rsid w:val="00D22186"/>
    <w:pPr>
      <w:spacing w:before="100" w:beforeAutospacing="1" w:after="100" w:afterAutospacing="1"/>
    </w:pPr>
    <w:rPr>
      <w:rFonts w:ascii="Calibri" w:hAnsi="Calibri" w:cs="Calibri"/>
      <w:sz w:val="22"/>
      <w:lang w:eastAsia="en-GB"/>
    </w:rPr>
  </w:style>
  <w:style w:type="character" w:styleId="UnresolvedMention">
    <w:name w:val="Unresolved Mention"/>
    <w:basedOn w:val="DefaultParagraphFont"/>
    <w:uiPriority w:val="99"/>
    <w:semiHidden/>
    <w:unhideWhenUsed/>
    <w:rsid w:val="00A23654"/>
    <w:rPr>
      <w:color w:val="605E5C"/>
      <w:shd w:val="clear" w:color="auto" w:fill="E1DFDD"/>
    </w:rPr>
  </w:style>
  <w:style w:type="paragraph" w:styleId="ListParagraph">
    <w:name w:val="List Paragraph"/>
    <w:basedOn w:val="Normal"/>
    <w:uiPriority w:val="34"/>
    <w:qFormat/>
    <w:rsid w:val="00A23654"/>
    <w:pPr>
      <w:ind w:left="720"/>
      <w:contextualSpacing/>
    </w:pPr>
  </w:style>
  <w:style w:type="paragraph" w:styleId="BalloonText">
    <w:name w:val="Balloon Text"/>
    <w:basedOn w:val="Normal"/>
    <w:link w:val="BalloonTextChar"/>
    <w:uiPriority w:val="99"/>
    <w:semiHidden/>
    <w:unhideWhenUsed/>
    <w:rsid w:val="001237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37AA"/>
    <w:rPr>
      <w:rFonts w:ascii="Segoe UI" w:hAnsi="Segoe UI" w:cs="Segoe UI"/>
      <w:sz w:val="18"/>
      <w:szCs w:val="18"/>
    </w:rPr>
  </w:style>
  <w:style w:type="character" w:styleId="FollowedHyperlink">
    <w:name w:val="FollowedHyperlink"/>
    <w:basedOn w:val="DefaultParagraphFont"/>
    <w:uiPriority w:val="99"/>
    <w:semiHidden/>
    <w:unhideWhenUsed/>
    <w:rsid w:val="00B0336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200055">
      <w:bodyDiv w:val="1"/>
      <w:marLeft w:val="0"/>
      <w:marRight w:val="0"/>
      <w:marTop w:val="0"/>
      <w:marBottom w:val="0"/>
      <w:divBdr>
        <w:top w:val="none" w:sz="0" w:space="0" w:color="auto"/>
        <w:left w:val="none" w:sz="0" w:space="0" w:color="auto"/>
        <w:bottom w:val="none" w:sz="0" w:space="0" w:color="auto"/>
        <w:right w:val="none" w:sz="0" w:space="0" w:color="auto"/>
      </w:divBdr>
    </w:div>
    <w:div w:id="431585094">
      <w:bodyDiv w:val="1"/>
      <w:marLeft w:val="0"/>
      <w:marRight w:val="0"/>
      <w:marTop w:val="0"/>
      <w:marBottom w:val="0"/>
      <w:divBdr>
        <w:top w:val="none" w:sz="0" w:space="0" w:color="auto"/>
        <w:left w:val="none" w:sz="0" w:space="0" w:color="auto"/>
        <w:bottom w:val="none" w:sz="0" w:space="0" w:color="auto"/>
        <w:right w:val="none" w:sz="0" w:space="0" w:color="auto"/>
      </w:divBdr>
    </w:div>
    <w:div w:id="460340169">
      <w:bodyDiv w:val="1"/>
      <w:marLeft w:val="0"/>
      <w:marRight w:val="0"/>
      <w:marTop w:val="0"/>
      <w:marBottom w:val="0"/>
      <w:divBdr>
        <w:top w:val="none" w:sz="0" w:space="0" w:color="auto"/>
        <w:left w:val="none" w:sz="0" w:space="0" w:color="auto"/>
        <w:bottom w:val="none" w:sz="0" w:space="0" w:color="auto"/>
        <w:right w:val="none" w:sz="0" w:space="0" w:color="auto"/>
      </w:divBdr>
    </w:div>
    <w:div w:id="930546597">
      <w:bodyDiv w:val="1"/>
      <w:marLeft w:val="0"/>
      <w:marRight w:val="0"/>
      <w:marTop w:val="0"/>
      <w:marBottom w:val="0"/>
      <w:divBdr>
        <w:top w:val="none" w:sz="0" w:space="0" w:color="auto"/>
        <w:left w:val="none" w:sz="0" w:space="0" w:color="auto"/>
        <w:bottom w:val="none" w:sz="0" w:space="0" w:color="auto"/>
        <w:right w:val="none" w:sz="0" w:space="0" w:color="auto"/>
      </w:divBdr>
    </w:div>
    <w:div w:id="1404839596">
      <w:bodyDiv w:val="1"/>
      <w:marLeft w:val="0"/>
      <w:marRight w:val="0"/>
      <w:marTop w:val="0"/>
      <w:marBottom w:val="0"/>
      <w:divBdr>
        <w:top w:val="none" w:sz="0" w:space="0" w:color="auto"/>
        <w:left w:val="none" w:sz="0" w:space="0" w:color="auto"/>
        <w:bottom w:val="none" w:sz="0" w:space="0" w:color="auto"/>
        <w:right w:val="none" w:sz="0" w:space="0" w:color="auto"/>
      </w:divBdr>
    </w:div>
    <w:div w:id="1800611080">
      <w:bodyDiv w:val="1"/>
      <w:marLeft w:val="0"/>
      <w:marRight w:val="0"/>
      <w:marTop w:val="0"/>
      <w:marBottom w:val="0"/>
      <w:divBdr>
        <w:top w:val="none" w:sz="0" w:space="0" w:color="auto"/>
        <w:left w:val="none" w:sz="0" w:space="0" w:color="auto"/>
        <w:bottom w:val="none" w:sz="0" w:space="0" w:color="auto"/>
        <w:right w:val="none" w:sz="0" w:space="0" w:color="auto"/>
      </w:divBdr>
    </w:div>
    <w:div w:id="1990475132">
      <w:bodyDiv w:val="1"/>
      <w:marLeft w:val="0"/>
      <w:marRight w:val="0"/>
      <w:marTop w:val="0"/>
      <w:marBottom w:val="0"/>
      <w:divBdr>
        <w:top w:val="none" w:sz="0" w:space="0" w:color="auto"/>
        <w:left w:val="none" w:sz="0" w:space="0" w:color="auto"/>
        <w:bottom w:val="none" w:sz="0" w:space="0" w:color="auto"/>
        <w:right w:val="none" w:sz="0" w:space="0" w:color="auto"/>
      </w:divBdr>
    </w:div>
    <w:div w:id="2036467595">
      <w:bodyDiv w:val="1"/>
      <w:marLeft w:val="0"/>
      <w:marRight w:val="0"/>
      <w:marTop w:val="0"/>
      <w:marBottom w:val="0"/>
      <w:divBdr>
        <w:top w:val="none" w:sz="0" w:space="0" w:color="auto"/>
        <w:left w:val="none" w:sz="0" w:space="0" w:color="auto"/>
        <w:bottom w:val="none" w:sz="0" w:space="0" w:color="auto"/>
        <w:right w:val="none" w:sz="0" w:space="0" w:color="auto"/>
      </w:divBdr>
    </w:div>
    <w:div w:id="2066684102">
      <w:bodyDiv w:val="1"/>
      <w:marLeft w:val="0"/>
      <w:marRight w:val="0"/>
      <w:marTop w:val="0"/>
      <w:marBottom w:val="0"/>
      <w:divBdr>
        <w:top w:val="none" w:sz="0" w:space="0" w:color="auto"/>
        <w:left w:val="none" w:sz="0" w:space="0" w:color="auto"/>
        <w:bottom w:val="none" w:sz="0" w:space="0" w:color="auto"/>
        <w:right w:val="none" w:sz="0" w:space="0" w:color="auto"/>
      </w:divBdr>
      <w:divsChild>
        <w:div w:id="879168844">
          <w:blockQuote w:val="1"/>
          <w:marLeft w:val="-450"/>
          <w:marRight w:val="0"/>
          <w:marTop w:val="0"/>
          <w:marBottom w:val="0"/>
          <w:divBdr>
            <w:top w:val="none" w:sz="0" w:space="0" w:color="auto"/>
            <w:left w:val="none" w:sz="0" w:space="0" w:color="auto"/>
            <w:bottom w:val="none" w:sz="0" w:space="0" w:color="auto"/>
            <w:right w:val="none" w:sz="0" w:space="0" w:color="auto"/>
          </w:divBdr>
        </w:div>
        <w:div w:id="561135116">
          <w:blockQuote w:val="1"/>
          <w:marLeft w:val="-450"/>
          <w:marRight w:val="0"/>
          <w:marTop w:val="0"/>
          <w:marBottom w:val="0"/>
          <w:divBdr>
            <w:top w:val="none" w:sz="0" w:space="0" w:color="auto"/>
            <w:left w:val="none" w:sz="0" w:space="0" w:color="auto"/>
            <w:bottom w:val="none" w:sz="0" w:space="0" w:color="auto"/>
            <w:right w:val="none" w:sz="0" w:space="0" w:color="auto"/>
          </w:divBdr>
        </w:div>
        <w:div w:id="1901287899">
          <w:blockQuote w:val="1"/>
          <w:marLeft w:val="-450"/>
          <w:marRight w:val="0"/>
          <w:marTop w:val="0"/>
          <w:marBottom w:val="0"/>
          <w:divBdr>
            <w:top w:val="none" w:sz="0" w:space="0" w:color="auto"/>
            <w:left w:val="none" w:sz="0" w:space="0" w:color="auto"/>
            <w:bottom w:val="none" w:sz="0" w:space="0" w:color="auto"/>
            <w:right w:val="none" w:sz="0" w:space="0" w:color="auto"/>
          </w:divBdr>
        </w:div>
        <w:div w:id="1397894629">
          <w:blockQuote w:val="1"/>
          <w:marLeft w:val="-450"/>
          <w:marRight w:val="0"/>
          <w:marTop w:val="0"/>
          <w:marBottom w:val="0"/>
          <w:divBdr>
            <w:top w:val="none" w:sz="0" w:space="0" w:color="auto"/>
            <w:left w:val="none" w:sz="0" w:space="0" w:color="auto"/>
            <w:bottom w:val="none" w:sz="0" w:space="0" w:color="auto"/>
            <w:right w:val="none" w:sz="0" w:space="0" w:color="auto"/>
          </w:divBdr>
        </w:div>
        <w:div w:id="787089665">
          <w:blockQuote w:val="1"/>
          <w:marLeft w:val="-450"/>
          <w:marRight w:val="0"/>
          <w:marTop w:val="0"/>
          <w:marBottom w:val="0"/>
          <w:divBdr>
            <w:top w:val="none" w:sz="0" w:space="0" w:color="auto"/>
            <w:left w:val="none" w:sz="0" w:space="0" w:color="auto"/>
            <w:bottom w:val="none" w:sz="0" w:space="0" w:color="auto"/>
            <w:right w:val="none" w:sz="0" w:space="0" w:color="auto"/>
          </w:divBdr>
        </w:div>
      </w:divsChild>
    </w:div>
    <w:div w:id="2089226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ur03.safelinks.protection.outlook.com/?url=https%3A%2F%2Fget-help-with-tech.education.gov.uk%2Fstart&amp;data=04%7C01%7Ckatherine.wells%40buckinghamshire.gov.uk%7C93d2d867ad674229cb2008d8b26e2099%7C7fb976b99e2848e180861ddabecf82a0%7C0%7C0%7C637455533368008574%7CUnknown%7CTWFpbGZsb3d8eyJWIjoiMC4wLjAwMDAiLCJQIjoiV2luMzIiLCJBTiI6Ik1haWwiLCJXVCI6Mn0%3D%7C1000&amp;sdata=FucWsH1PZD4Omyn66%2BbOVk1ne9%2Fl57jlz5ocHsZsNFU%3D&amp;reserved=0" TargetMode="External"/><Relationship Id="rId18" Type="http://schemas.openxmlformats.org/officeDocument/2006/relationships/hyperlink" Target="https://assets.publishing.service.gov.uk/government/uploads/system/uploads/attachment_data/file/950515/Schools_Colleges_Testing_Handbook_revised_04012021.pdf" TargetMode="External"/><Relationship Id="rId26" Type="http://schemas.openxmlformats.org/officeDocument/2006/relationships/hyperlink" Target="https://eur03.safelinks.protection.outlook.com/?url=https%3A%2F%2Fwww.gov.uk%2Fgovernment%2Fpublications%2Fcoronavirus-covid-19-financial-support-for-education-early-years-and-childrens-social-care%3Futm_medium%3Demail%26utm_campaign%3Dgovuk-notifications%26utm_source%3D948d407e-aff5-4c92-a49a-3dd3ddef9fe0%26utm_content%3Ddaily&amp;data=04%7C01%7Ckatherine.wells%40buckinghamshire.gov.uk%7C047e0908ba4d4f04250008d8b3b0c574%7C7fb976b99e2848e180861ddabecf82a0%7C0%7C0%7C637456919097841398%7CUnknown%7CTWFpbGZsb3d8eyJWIjoiMC4wLjAwMDAiLCJQIjoiV2luMzIiLCJBTiI6Ik1haWwiLCJXVCI6Mn0%3D%7C1000&amp;sdata=ysSh%2BLgkXcr9czx54PQ1IjJtbCSzhmi3K0EfpFt4BZI%3D&amp;reserved=0" TargetMode="External"/><Relationship Id="rId3" Type="http://schemas.openxmlformats.org/officeDocument/2006/relationships/customXml" Target="../customXml/item3.xml"/><Relationship Id="rId21" Type="http://schemas.openxmlformats.org/officeDocument/2006/relationships/hyperlink" Target="https://www.gov.uk/government/publications/coronavirus-covid-19-school-and-college-performance-measures?_ga=2.131656079.1405893355.1602512650-2061908854.1576756995" TargetMode="External"/><Relationship Id="rId7" Type="http://schemas.openxmlformats.org/officeDocument/2006/relationships/webSettings" Target="webSettings.xml"/><Relationship Id="rId12" Type="http://schemas.openxmlformats.org/officeDocument/2006/relationships/hyperlink" Target="https://eur03.safelinks.protection.outlook.com/?url=https%3A%2F%2Fwww.gov.uk%2Fgovernment%2Fpublications%2Fcoronavirus-covid-19-early-years-and-childcare-closures%3Futm_medium%3Demail%26utm_campaign%3Dgovuk-notifications%26utm_source%3De0e6071b-ab48-4d21-bce7-a8ae26bd8c15%26utm_content%3Ddaily&amp;data=04%7C01%7Ckatherine.wells%40buckinghamshire.gov.uk%7C047e0908ba4d4f04250008d8b3b0c574%7C7fb976b99e2848e180861ddabecf82a0%7C0%7C0%7C637456919097911363%7CUnknown%7CTWFpbGZsb3d8eyJWIjoiMC4wLjAwMDAiLCJQIjoiV2luMzIiLCJBTiI6Ik1haWwiLCJXVCI6Mn0%3D%7C1000&amp;sdata=h%2Bs0hDbS%2FXV%2Bob1yXpwocxZAAIJH6nxxQfzMYzyAi%2BI%3D&amp;reserved=0" TargetMode="External"/><Relationship Id="rId17" Type="http://schemas.openxmlformats.org/officeDocument/2006/relationships/hyperlink" Target="https://eur03.safelinks.protection.outlook.com/?url=https%3A%2F%2Fwww.gov.uk%2Fguidance%2Fasymptomatic-testing-in-schools-and-colleges%3Futm_medium%3Demail%26utm_campaign%3Dgovuk-notifications%26utm_source%3De4f98685-3c9d-4f66-be89-500f9ccef42c%26utm_content%3Ddaily&amp;data=04%7C01%7Ckatherine.wells%40buckinghamshire.gov.uk%7C047e0908ba4d4f04250008d8b3b0c574%7C7fb976b99e2848e180861ddabecf82a0%7C0%7C0%7C637456919097861384%7CUnknown%7CTWFpbGZsb3d8eyJWIjoiMC4wLjAwMDAiLCJQIjoiV2luMzIiLCJBTiI6Ik1haWwiLCJXVCI6Mn0%3D%7C1000&amp;sdata=iBvOeAisyV5tvoCWyC1ra6x2T2vh6i%2BVAayauWcs1tA%3D&amp;reserved=0" TargetMode="External"/><Relationship Id="rId25" Type="http://schemas.openxmlformats.org/officeDocument/2006/relationships/hyperlink" Target="https://www.hse.gov.uk/coronavirus/legionella-risks-during-coronavirus-outbreak.htm" TargetMode="External"/><Relationship Id="rId2" Type="http://schemas.openxmlformats.org/officeDocument/2006/relationships/customXml" Target="../customXml/item2.xml"/><Relationship Id="rId16" Type="http://schemas.openxmlformats.org/officeDocument/2006/relationships/hyperlink" Target="https://eur03.safelinks.protection.outlook.com/?url=https%3A%2F%2Fwww.education.gov.uk%2Fregister-test-site-team-leader&amp;data=04%7C01%7Ckatherine.wells%40buckinghamshire.gov.uk%7C93d2d867ad674229cb2008d8b26e2099%7C7fb976b99e2848e180861ddabecf82a0%7C0%7C0%7C637455533368018565%7CUnknown%7CTWFpbGZsb3d8eyJWIjoiMC4wLjAwMDAiLCJQIjoiV2luMzIiLCJBTiI6Ik1haWwiLCJXVCI6Mn0%3D%7C1000&amp;sdata=hErmBNGIUzcelHDu%2Fa%2Fz8F2N%2BGmMaIyrgvG%2FIZnJtvg%3D&amp;reserved=0" TargetMode="External"/><Relationship Id="rId20" Type="http://schemas.openxmlformats.org/officeDocument/2006/relationships/hyperlink" Target="https://eur03.safelinks.protection.outlook.com/?url=https%3A%2F%2Fdrive.google.com%2Fdrive%2Ffolders%2F1jYv0MjFyIIbzgPn_1S10OuRgfrj_b5_P%3Fusp%3Dsharing&amp;data=04%7C01%7Ckatherine.wells%40buckinghamshire.gov.uk%7C93d2d867ad674229cb2008d8b26e2099%7C7fb976b99e2848e180861ddabecf82a0%7C0%7C0%7C637455533368038554%7CUnknown%7CTWFpbGZsb3d8eyJWIjoiMC4wLjAwMDAiLCJQIjoiV2luMzIiLCJBTiI6Ik1haWwiLCJXVCI6Mn0%3D%7C1000&amp;sdata=IUdt9oPfJXYYnt%2Bnh7AQfaKPlm4LMQZyBCzEsGNQgeA%3D&amp;reserved=0"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ur03.safelinks.protection.outlook.com/?url=https%3A%2F%2Fwww.gov.uk%2Fgovernment%2Fpublications%2Fcoronavirus-covid-19-maintaining-educational-provision%2Fguidance-for-schools-colleges-and-local-authorities-on-maintaining-educational-provision%3Futm_source%3D5%2520January%25202021%2520C19%26utm_medium%3DDaily%2520Email%2520C19%26utm_campaign%3DDfE%2520C19&amp;data=04%7C01%7Ckatherine.wells%40buckinghamshire.gov.uk%7C93d2d867ad674229cb2008d8b26e2099%7C7fb976b99e2848e180861ddabecf82a0%7C0%7C0%7C637455533367998576%7CUnknown%7CTWFpbGZsb3d8eyJWIjoiMC4wLjAwMDAiLCJQIjoiV2luMzIiLCJBTiI6Ik1haWwiLCJXVCI6Mn0%3D%7C1000&amp;sdata=mxub0zE9Or4HBd3yYAeuXdH5WsfAasgiFui1WbiN2tE%3D&amp;reserved=0" TargetMode="External"/><Relationship Id="rId24" Type="http://schemas.openxmlformats.org/officeDocument/2006/relationships/hyperlink" Target="https://www.educationsupport.org.uk/" TargetMode="External"/><Relationship Id="rId5" Type="http://schemas.openxmlformats.org/officeDocument/2006/relationships/styles" Target="styles.xml"/><Relationship Id="rId15" Type="http://schemas.openxmlformats.org/officeDocument/2006/relationships/hyperlink" Target="https://eur03.safelinks.protection.outlook.com/?url=https%3A%2F%2Fwww.gov.uk%2Fguidance%2Fget-help-with-technology-for-remote-education-during-coronavirus-covid-19%3Futm_medium%3Demail%26utm_campaign%3Dgovuk-notifications%26utm_source%3D15489127-e0fe-47b1-878c-8a7ad55767cc%26utm_content%3Ddaily&amp;data=04%7C01%7Ckatherine.wells%40buckinghamshire.gov.uk%7C047e0908ba4d4f04250008d8b3b0c574%7C7fb976b99e2848e180861ddabecf82a0%7C0%7C0%7C637456919097901366%7CUnknown%7CTWFpbGZsb3d8eyJWIjoiMC4wLjAwMDAiLCJQIjoiV2luMzIiLCJBTiI6Ik1haWwiLCJXVCI6Mn0%3D%7C1000&amp;sdata=F9KTdzM%2Fb%2FleXzgrgDk60wNvsRZRhqdyf6FOX%2FbMNI4%3D&amp;reserved=0" TargetMode="External"/><Relationship Id="rId23" Type="http://schemas.openxmlformats.org/officeDocument/2006/relationships/hyperlink" Target="https://www.gov.uk/government/news/extra-mental-health-support-for-pupils-and-teachers" TargetMode="External"/><Relationship Id="rId28" Type="http://schemas.openxmlformats.org/officeDocument/2006/relationships/theme" Target="theme/theme1.xml"/><Relationship Id="rId10" Type="http://schemas.openxmlformats.org/officeDocument/2006/relationships/hyperlink" Target="https://assets.publishing.service.gov.uk/government/uploads/system/uploads/attachment_data/file/950510/School_national_restrictions_guidance.pdf" TargetMode="External"/><Relationship Id="rId19" Type="http://schemas.openxmlformats.org/officeDocument/2006/relationships/hyperlink" Target="https://eur03.safelinks.protection.outlook.com/?url=https%3A%2F%2Fform.education.gov.uk%2Fservice%2Frapid-testing-contact&amp;data=04%7C01%7Ckatherine.wells%40buckinghamshire.gov.uk%7C93d2d867ad674229cb2008d8b26e2099%7C7fb976b99e2848e180861ddabecf82a0%7C0%7C0%7C637455533368028559%7CUnknown%7CTWFpbGZsb3d8eyJWIjoiMC4wLjAwMDAiLCJQIjoiV2luMzIiLCJBTiI6Ik1haWwiLCJXVCI6Mn0%3D%7C1000&amp;sdata=Fa4KeP%2FsaPpUrUGMtK7eSETU6AeMx5%2BuFYQwxznJnQA%3D&amp;reserved=0" TargetMode="External"/><Relationship Id="rId4" Type="http://schemas.openxmlformats.org/officeDocument/2006/relationships/numbering" Target="numbering.xml"/><Relationship Id="rId9" Type="http://schemas.openxmlformats.org/officeDocument/2006/relationships/hyperlink" Target="https://www.gov.uk/government/news/education-secretary-outlines-plans-to-support-young-people" TargetMode="External"/><Relationship Id="rId14" Type="http://schemas.openxmlformats.org/officeDocument/2006/relationships/hyperlink" Target="https://eur03.safelinks.protection.outlook.com/?url=https%3A%2F%2Fget-help-with-tech.education.gov.uk%2Finternet-access&amp;data=04%7C01%7Ckatherine.wells%40buckinghamshire.gov.uk%7C93d2d867ad674229cb2008d8b26e2099%7C7fb976b99e2848e180861ddabecf82a0%7C0%7C0%7C637455533368008574%7CUnknown%7CTWFpbGZsb3d8eyJWIjoiMC4wLjAwMDAiLCJQIjoiV2luMzIiLCJBTiI6Ik1haWwiLCJXVCI6Mn0%3D%7C1000&amp;sdata=6EoAdK2EJ%2BqbFxUh5aU4EZsL%2Be0ovEBP9wGmO%2Fa%2B%2Bgg%3D&amp;reserved=0" TargetMode="External"/><Relationship Id="rId22" Type="http://schemas.openxmlformats.org/officeDocument/2006/relationships/hyperlink" Target="https://www.rcog.org.uk/en/guidelines-research-services/guidelines/coronavirus-pregnancy/covid-19-virus-infection-and-pregnancy/"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2A06E32BFC74148B86DD4743245A81C" ma:contentTypeVersion="9" ma:contentTypeDescription="Create a new document." ma:contentTypeScope="" ma:versionID="599d88a0e9a9cbf0d642087447105e14">
  <xsd:schema xmlns:xsd="http://www.w3.org/2001/XMLSchema" xmlns:xs="http://www.w3.org/2001/XMLSchema" xmlns:p="http://schemas.microsoft.com/office/2006/metadata/properties" xmlns:ns3="10ed86c3-95ec-4490-93e0-a129539a08c7" targetNamespace="http://schemas.microsoft.com/office/2006/metadata/properties" ma:root="true" ma:fieldsID="921dd67f0a5525baaf2cf07016246549" ns3:_="">
    <xsd:import namespace="10ed86c3-95ec-4490-93e0-a129539a08c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ed86c3-95ec-4490-93e0-a129539a08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DCEF77A-663D-42B2-B0A7-9C6AF93E965B}">
  <ds:schemaRefs>
    <ds:schemaRef ds:uri="http://schemas.microsoft.com/office/infopath/2007/PartnerControls"/>
    <ds:schemaRef ds:uri="http://schemas.microsoft.com/office/2006/metadata/properties"/>
    <ds:schemaRef ds:uri="http://schemas.openxmlformats.org/package/2006/metadata/core-properties"/>
    <ds:schemaRef ds:uri="http://purl.org/dc/dcmitype/"/>
    <ds:schemaRef ds:uri="10ed86c3-95ec-4490-93e0-a129539a08c7"/>
    <ds:schemaRef ds:uri="http://www.w3.org/XML/1998/namespace"/>
    <ds:schemaRef ds:uri="http://schemas.microsoft.com/office/2006/documentManagement/types"/>
    <ds:schemaRef ds:uri="http://purl.org/dc/terms/"/>
    <ds:schemaRef ds:uri="http://purl.org/dc/elements/1.1/"/>
  </ds:schemaRefs>
</ds:datastoreItem>
</file>

<file path=customXml/itemProps2.xml><?xml version="1.0" encoding="utf-8"?>
<ds:datastoreItem xmlns:ds="http://schemas.openxmlformats.org/officeDocument/2006/customXml" ds:itemID="{86795AA6-E4CF-4593-B9B3-9F1320BE37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ed86c3-95ec-4490-93e0-a129539a08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6354E0-CB00-4FE7-AFEC-1231CD5783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4490</Words>
  <Characters>25598</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Wells</dc:creator>
  <cp:keywords/>
  <dc:description/>
  <cp:lastModifiedBy>Katherine Wells</cp:lastModifiedBy>
  <cp:revision>2</cp:revision>
  <dcterms:created xsi:type="dcterms:W3CDTF">2021-01-08T18:50:00Z</dcterms:created>
  <dcterms:modified xsi:type="dcterms:W3CDTF">2021-01-08T18:50:00Z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0x01010012A06E32BFC74148B86DD4743245A81C</vt:lpwstr>
  </property>
</Properties>
</file>