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3F85" w14:textId="77777777" w:rsidR="00BF18FC" w:rsidRPr="00DF7363" w:rsidRDefault="00BF18FC">
      <w:pPr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A59E7" w:rsidRPr="00DF7363" w14:paraId="52AD6F6B" w14:textId="77777777" w:rsidTr="00DF7363">
        <w:trPr>
          <w:trHeight w:val="3988"/>
        </w:trPr>
        <w:tc>
          <w:tcPr>
            <w:tcW w:w="10598" w:type="dxa"/>
            <w:shd w:val="clear" w:color="auto" w:fill="00B050"/>
          </w:tcPr>
          <w:p w14:paraId="121A8FE2" w14:textId="35FB37E4" w:rsidR="005A59E7" w:rsidRPr="00DF7363" w:rsidRDefault="005A59E7" w:rsidP="00D67474">
            <w:pPr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 w:rsidRPr="00DF7363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 xml:space="preserve">Calling all </w:t>
            </w:r>
            <w:r w:rsidR="00E314FF" w:rsidRPr="00DF7363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H</w:t>
            </w:r>
            <w:r w:rsidRPr="00DF7363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 xml:space="preserve">ead </w:t>
            </w:r>
            <w:r w:rsidR="00E314FF" w:rsidRPr="00DF7363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T</w:t>
            </w:r>
            <w:r w:rsidRPr="00DF7363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 xml:space="preserve">eachers and </w:t>
            </w:r>
            <w:r w:rsidR="00E314FF" w:rsidRPr="00DF7363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G</w:t>
            </w:r>
            <w:r w:rsidRPr="00DF7363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overnors of:</w:t>
            </w:r>
          </w:p>
          <w:p w14:paraId="200E9E48" w14:textId="77777777" w:rsidR="005A59E7" w:rsidRPr="00DF7363" w:rsidRDefault="005A59E7" w:rsidP="00D67474">
            <w:pPr>
              <w:rPr>
                <w:rFonts w:cstheme="minorHAnsi"/>
                <w:b/>
                <w:color w:val="FFFFFF" w:themeColor="background1"/>
                <w:sz w:val="48"/>
              </w:rPr>
            </w:pPr>
          </w:p>
          <w:p w14:paraId="6BDAE714" w14:textId="37DFC9BB" w:rsidR="004C49FB" w:rsidRPr="00DF7363" w:rsidRDefault="004C49FB" w:rsidP="00DF73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Primary </w:t>
            </w:r>
            <w:r w:rsidR="00BC0D72"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A</w:t>
            </w:r>
            <w:r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cademy</w:t>
            </w:r>
          </w:p>
          <w:p w14:paraId="47DFC993" w14:textId="5A6100EC" w:rsidR="004C49FB" w:rsidRPr="00DF7363" w:rsidRDefault="004C49FB" w:rsidP="00DF73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Primary (</w:t>
            </w:r>
            <w:r w:rsidR="00BC0D72"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J</w:t>
            </w:r>
            <w:r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unior) </w:t>
            </w:r>
            <w:r w:rsidR="00BC0D72"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M</w:t>
            </w:r>
            <w:r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aintained</w:t>
            </w:r>
          </w:p>
          <w:p w14:paraId="3D72D617" w14:textId="0220B8A5" w:rsidR="00BC0D72" w:rsidRPr="00DF7363" w:rsidRDefault="00BC0D72" w:rsidP="00DF73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Primary (Infant) Maintained</w:t>
            </w:r>
          </w:p>
          <w:p w14:paraId="6F44E809" w14:textId="21AE22A3" w:rsidR="004C49FB" w:rsidRPr="00DF7363" w:rsidRDefault="004C49FB" w:rsidP="00DF73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Secondary (</w:t>
            </w:r>
            <w:r w:rsidR="00BC0D72"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U</w:t>
            </w:r>
            <w:r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pper) </w:t>
            </w:r>
            <w:r w:rsidR="00BC0D72"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A</w:t>
            </w:r>
            <w:r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cademy</w:t>
            </w:r>
            <w:r w:rsidR="00BC0D72"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x2</w:t>
            </w:r>
          </w:p>
          <w:p w14:paraId="65C50714" w14:textId="27513C51" w:rsidR="005A59E7" w:rsidRPr="00DF7363" w:rsidRDefault="005A59E7" w:rsidP="00DF73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8"/>
              </w:rPr>
            </w:pPr>
            <w:r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PRUs</w:t>
            </w:r>
            <w:r w:rsidR="00BC0D72" w:rsidRPr="00DF7363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x2</w:t>
            </w:r>
          </w:p>
        </w:tc>
      </w:tr>
    </w:tbl>
    <w:p w14:paraId="62983DF3" w14:textId="77777777" w:rsidR="005A59E7" w:rsidRPr="00DF7363" w:rsidRDefault="005A59E7" w:rsidP="005A59E7">
      <w:pPr>
        <w:pStyle w:val="NoSpacing"/>
        <w:rPr>
          <w:rFonts w:cstheme="minorHAnsi"/>
        </w:rPr>
      </w:pPr>
    </w:p>
    <w:p w14:paraId="058D8A91" w14:textId="77777777" w:rsidR="001113E9" w:rsidRPr="00DF7363" w:rsidRDefault="00C36835" w:rsidP="005A59E7">
      <w:pPr>
        <w:jc w:val="both"/>
        <w:rPr>
          <w:rFonts w:cstheme="minorHAnsi"/>
          <w:sz w:val="24"/>
        </w:rPr>
      </w:pPr>
      <w:r w:rsidRPr="00DF7363">
        <w:rPr>
          <w:rFonts w:cstheme="minorHAnsi"/>
          <w:sz w:val="24"/>
        </w:rPr>
        <w:t>The Schools Forum</w:t>
      </w:r>
      <w:r w:rsidR="00EF0BCF" w:rsidRPr="00DF7363">
        <w:rPr>
          <w:rFonts w:cstheme="minorHAnsi"/>
          <w:sz w:val="24"/>
        </w:rPr>
        <w:t>,</w:t>
      </w:r>
      <w:r w:rsidR="00D84600" w:rsidRPr="00DF7363">
        <w:rPr>
          <w:rFonts w:cstheme="minorHAnsi"/>
          <w:sz w:val="24"/>
        </w:rPr>
        <w:t xml:space="preserve"> </w:t>
      </w:r>
      <w:r w:rsidR="00EF0BCF" w:rsidRPr="00DF7363">
        <w:rPr>
          <w:rFonts w:cstheme="minorHAnsi"/>
          <w:sz w:val="24"/>
        </w:rPr>
        <w:t>an advisory body for matters relating to schools budgeting, is</w:t>
      </w:r>
      <w:r w:rsidR="00D84600" w:rsidRPr="00DF7363">
        <w:rPr>
          <w:rFonts w:cstheme="minorHAnsi"/>
          <w:sz w:val="24"/>
        </w:rPr>
        <w:t xml:space="preserve"> looking for members</w:t>
      </w:r>
      <w:r w:rsidRPr="00DF7363">
        <w:rPr>
          <w:rFonts w:cstheme="minorHAnsi"/>
          <w:sz w:val="24"/>
        </w:rPr>
        <w:t xml:space="preserve"> </w:t>
      </w:r>
      <w:r w:rsidR="0087008B" w:rsidRPr="00DF7363">
        <w:rPr>
          <w:rFonts w:cstheme="minorHAnsi"/>
          <w:sz w:val="24"/>
        </w:rPr>
        <w:t>from the above areas</w:t>
      </w:r>
      <w:r w:rsidR="00EF0BCF" w:rsidRPr="00DF7363">
        <w:rPr>
          <w:rFonts w:cstheme="minorHAnsi"/>
          <w:sz w:val="24"/>
        </w:rPr>
        <w:t>.</w:t>
      </w:r>
    </w:p>
    <w:p w14:paraId="220996BF" w14:textId="759B415A" w:rsidR="00C36835" w:rsidRPr="00DF7363" w:rsidRDefault="00C36835" w:rsidP="005A59E7">
      <w:pPr>
        <w:jc w:val="both"/>
        <w:rPr>
          <w:rFonts w:cstheme="minorHAnsi"/>
          <w:sz w:val="24"/>
        </w:rPr>
      </w:pPr>
      <w:r w:rsidRPr="00DF7363">
        <w:rPr>
          <w:rFonts w:cstheme="minorHAnsi"/>
          <w:sz w:val="24"/>
        </w:rPr>
        <w:t>The Forum meets approximately 5 times a year at Green Park in Aston Clinton</w:t>
      </w:r>
      <w:r w:rsidR="004C49FB" w:rsidRPr="00DF7363">
        <w:rPr>
          <w:rFonts w:cstheme="minorHAnsi"/>
          <w:sz w:val="24"/>
        </w:rPr>
        <w:t xml:space="preserve"> or via MS Teams. </w:t>
      </w:r>
      <w:r w:rsidRPr="00DF7363">
        <w:rPr>
          <w:rFonts w:cstheme="minorHAnsi"/>
          <w:sz w:val="24"/>
        </w:rPr>
        <w:t xml:space="preserve"> </w:t>
      </w:r>
      <w:r w:rsidR="004C49FB" w:rsidRPr="00DF7363">
        <w:rPr>
          <w:rFonts w:cstheme="minorHAnsi"/>
          <w:sz w:val="24"/>
        </w:rPr>
        <w:t>The</w:t>
      </w:r>
      <w:r w:rsidRPr="00DF7363">
        <w:rPr>
          <w:rFonts w:cstheme="minorHAnsi"/>
          <w:sz w:val="24"/>
        </w:rPr>
        <w:t xml:space="preserve"> membership</w:t>
      </w:r>
      <w:r w:rsidR="004C49FB" w:rsidRPr="00DF7363">
        <w:rPr>
          <w:rFonts w:cstheme="minorHAnsi"/>
          <w:sz w:val="24"/>
        </w:rPr>
        <w:t xml:space="preserve"> is made up</w:t>
      </w:r>
      <w:r w:rsidRPr="00DF7363">
        <w:rPr>
          <w:rFonts w:cstheme="minorHAnsi"/>
          <w:sz w:val="24"/>
        </w:rPr>
        <w:t xml:space="preserve"> of 30 </w:t>
      </w:r>
      <w:r w:rsidR="00E314FF" w:rsidRPr="00DF7363">
        <w:rPr>
          <w:rFonts w:cstheme="minorHAnsi"/>
          <w:sz w:val="24"/>
        </w:rPr>
        <w:t>H</w:t>
      </w:r>
      <w:r w:rsidRPr="00DF7363">
        <w:rPr>
          <w:rFonts w:cstheme="minorHAnsi"/>
          <w:sz w:val="24"/>
        </w:rPr>
        <w:t xml:space="preserve">ead </w:t>
      </w:r>
      <w:r w:rsidR="00E314FF" w:rsidRPr="00DF7363">
        <w:rPr>
          <w:rFonts w:cstheme="minorHAnsi"/>
          <w:sz w:val="24"/>
        </w:rPr>
        <w:t>T</w:t>
      </w:r>
      <w:r w:rsidRPr="00DF7363">
        <w:rPr>
          <w:rFonts w:cstheme="minorHAnsi"/>
          <w:sz w:val="24"/>
        </w:rPr>
        <w:t xml:space="preserve">eachers, </w:t>
      </w:r>
      <w:r w:rsidR="00E314FF" w:rsidRPr="00DF7363">
        <w:rPr>
          <w:rFonts w:cstheme="minorHAnsi"/>
          <w:sz w:val="24"/>
        </w:rPr>
        <w:t>G</w:t>
      </w:r>
      <w:r w:rsidRPr="00DF7363">
        <w:rPr>
          <w:rFonts w:cstheme="minorHAnsi"/>
          <w:sz w:val="24"/>
        </w:rPr>
        <w:t>overnors and other education representatives such as the local dioceses and teaching unions.</w:t>
      </w:r>
    </w:p>
    <w:p w14:paraId="64E8EE75" w14:textId="77777777" w:rsidR="00C36835" w:rsidRPr="00DF7363" w:rsidRDefault="00C36835" w:rsidP="005A59E7">
      <w:pPr>
        <w:jc w:val="both"/>
        <w:rPr>
          <w:rFonts w:cstheme="minorHAnsi"/>
          <w:sz w:val="24"/>
        </w:rPr>
      </w:pPr>
      <w:r w:rsidRPr="00DF7363">
        <w:rPr>
          <w:rFonts w:cstheme="minorHAnsi"/>
          <w:sz w:val="24"/>
        </w:rPr>
        <w:t>Membership is for 3 years</w:t>
      </w:r>
      <w:r w:rsidR="001971C9" w:rsidRPr="00DF7363">
        <w:rPr>
          <w:rFonts w:cstheme="minorHAnsi"/>
          <w:sz w:val="24"/>
        </w:rPr>
        <w:t xml:space="preserve"> or</w:t>
      </w:r>
      <w:r w:rsidRPr="00DF7363">
        <w:rPr>
          <w:rFonts w:cstheme="minorHAnsi"/>
          <w:sz w:val="24"/>
        </w:rPr>
        <w:t xml:space="preserve"> until you </w:t>
      </w:r>
      <w:r w:rsidR="00EF0BCF" w:rsidRPr="00DF7363">
        <w:rPr>
          <w:rFonts w:cstheme="minorHAnsi"/>
          <w:sz w:val="24"/>
        </w:rPr>
        <w:t xml:space="preserve">no-longer hold a qualifying </w:t>
      </w:r>
      <w:r w:rsidR="001971C9" w:rsidRPr="00DF7363">
        <w:rPr>
          <w:rFonts w:cstheme="minorHAnsi"/>
          <w:sz w:val="24"/>
        </w:rPr>
        <w:t xml:space="preserve">post.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C36835" w:rsidRPr="00DF7363" w14:paraId="4ACCB802" w14:textId="77777777" w:rsidTr="005A59E7">
        <w:trPr>
          <w:trHeight w:val="346"/>
        </w:trPr>
        <w:tc>
          <w:tcPr>
            <w:tcW w:w="5495" w:type="dxa"/>
            <w:shd w:val="clear" w:color="auto" w:fill="00B050"/>
          </w:tcPr>
          <w:p w14:paraId="5710ECDF" w14:textId="77777777" w:rsidR="00C36835" w:rsidRPr="00DF7363" w:rsidRDefault="00C36835">
            <w:pPr>
              <w:rPr>
                <w:rFonts w:cstheme="minorHAnsi"/>
                <w:color w:val="FFFFFF" w:themeColor="background1"/>
                <w:sz w:val="24"/>
              </w:rPr>
            </w:pPr>
            <w:r w:rsidRPr="00DF7363">
              <w:rPr>
                <w:rFonts w:cstheme="minorHAnsi"/>
                <w:color w:val="FFFFFF" w:themeColor="background1"/>
                <w:sz w:val="24"/>
              </w:rPr>
              <w:t xml:space="preserve">The forum acts in a </w:t>
            </w:r>
            <w:r w:rsidRPr="00DF7363">
              <w:rPr>
                <w:rFonts w:cstheme="minorHAnsi"/>
                <w:b/>
                <w:color w:val="FFFFFF" w:themeColor="background1"/>
                <w:sz w:val="24"/>
              </w:rPr>
              <w:t>consultative</w:t>
            </w:r>
            <w:r w:rsidRPr="00DF7363">
              <w:rPr>
                <w:rFonts w:cstheme="minorHAnsi"/>
                <w:color w:val="FFFFFF" w:themeColor="background1"/>
                <w:sz w:val="24"/>
              </w:rPr>
              <w:t xml:space="preserve"> role for:</w:t>
            </w:r>
          </w:p>
        </w:tc>
        <w:tc>
          <w:tcPr>
            <w:tcW w:w="5103" w:type="dxa"/>
            <w:shd w:val="clear" w:color="auto" w:fill="00B050"/>
          </w:tcPr>
          <w:p w14:paraId="3F5C1635" w14:textId="77777777" w:rsidR="00C36835" w:rsidRPr="00DF7363" w:rsidRDefault="00C36835" w:rsidP="00C36835">
            <w:pPr>
              <w:spacing w:after="200" w:line="276" w:lineRule="auto"/>
              <w:rPr>
                <w:rFonts w:cstheme="minorHAnsi"/>
                <w:color w:val="FFFFFF" w:themeColor="background1"/>
                <w:sz w:val="24"/>
              </w:rPr>
            </w:pPr>
            <w:r w:rsidRPr="00DF7363">
              <w:rPr>
                <w:rFonts w:cstheme="minorHAnsi"/>
                <w:color w:val="FFFFFF" w:themeColor="background1"/>
                <w:sz w:val="24"/>
              </w:rPr>
              <w:t xml:space="preserve">The forum </w:t>
            </w:r>
            <w:r w:rsidRPr="00DF7363">
              <w:rPr>
                <w:rFonts w:cstheme="minorHAnsi"/>
                <w:b/>
                <w:bCs/>
                <w:color w:val="FFFFFF" w:themeColor="background1"/>
                <w:sz w:val="24"/>
              </w:rPr>
              <w:t>decides</w:t>
            </w:r>
            <w:r w:rsidRPr="00DF7363">
              <w:rPr>
                <w:rFonts w:cstheme="minorHAnsi"/>
                <w:color w:val="FFFFFF" w:themeColor="background1"/>
                <w:sz w:val="24"/>
              </w:rPr>
              <w:t>:</w:t>
            </w:r>
          </w:p>
        </w:tc>
      </w:tr>
      <w:tr w:rsidR="00C36835" w:rsidRPr="00DF7363" w14:paraId="62C9BF7B" w14:textId="77777777" w:rsidTr="005A59E7">
        <w:tc>
          <w:tcPr>
            <w:tcW w:w="5495" w:type="dxa"/>
          </w:tcPr>
          <w:p w14:paraId="2ABC0CE1" w14:textId="33353B06" w:rsidR="00C36835" w:rsidRPr="00DF7363" w:rsidRDefault="00E314FF" w:rsidP="00C368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DF7363">
              <w:rPr>
                <w:rFonts w:cstheme="minorHAnsi"/>
                <w:sz w:val="24"/>
              </w:rPr>
              <w:t>C</w:t>
            </w:r>
            <w:r w:rsidR="00C36835" w:rsidRPr="00DF7363">
              <w:rPr>
                <w:rFonts w:cstheme="minorHAnsi"/>
                <w:sz w:val="24"/>
              </w:rPr>
              <w:t>hanges to the local funding formula (the local authority makes the final decision)</w:t>
            </w:r>
          </w:p>
          <w:p w14:paraId="0B46D9A6" w14:textId="0053DF94" w:rsidR="00C36835" w:rsidRPr="00DF7363" w:rsidRDefault="00E314FF" w:rsidP="00C368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DF7363">
              <w:rPr>
                <w:rFonts w:cstheme="minorHAnsi"/>
                <w:sz w:val="24"/>
              </w:rPr>
              <w:t>P</w:t>
            </w:r>
            <w:r w:rsidR="00C36835" w:rsidRPr="00DF7363">
              <w:rPr>
                <w:rFonts w:cstheme="minorHAnsi"/>
                <w:sz w:val="24"/>
              </w:rPr>
              <w:t>roposed changes to the operation of the minimum funding guarantee</w:t>
            </w:r>
          </w:p>
          <w:p w14:paraId="38187AD7" w14:textId="321AF668" w:rsidR="00C36835" w:rsidRPr="00DF7363" w:rsidRDefault="00E314FF" w:rsidP="00C368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DF7363">
              <w:rPr>
                <w:rFonts w:cstheme="minorHAnsi"/>
                <w:sz w:val="24"/>
              </w:rPr>
              <w:t>C</w:t>
            </w:r>
            <w:r w:rsidR="00C36835" w:rsidRPr="00DF7363">
              <w:rPr>
                <w:rFonts w:cstheme="minorHAnsi"/>
                <w:sz w:val="24"/>
              </w:rPr>
              <w:t>hanges to or new contracts affecting schools (school meals, for example)</w:t>
            </w:r>
          </w:p>
          <w:p w14:paraId="1E2D532A" w14:textId="72F8FE3F" w:rsidR="00C36835" w:rsidRPr="00DF7363" w:rsidRDefault="00E314FF" w:rsidP="00C368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DF7363">
              <w:rPr>
                <w:rFonts w:cstheme="minorHAnsi"/>
                <w:sz w:val="24"/>
              </w:rPr>
              <w:t>A</w:t>
            </w:r>
            <w:r w:rsidR="00C36835" w:rsidRPr="00DF7363">
              <w:rPr>
                <w:rFonts w:cstheme="minorHAnsi"/>
                <w:sz w:val="24"/>
              </w:rPr>
              <w:t>rrangements for pupils with special educational needs, in pupil referral units, and in early years provision</w:t>
            </w:r>
          </w:p>
          <w:p w14:paraId="4BDC298E" w14:textId="77777777" w:rsidR="00C36835" w:rsidRPr="00DF7363" w:rsidRDefault="00C36835">
            <w:pPr>
              <w:rPr>
                <w:rFonts w:cstheme="minorHAnsi"/>
                <w:sz w:val="24"/>
              </w:rPr>
            </w:pPr>
          </w:p>
        </w:tc>
        <w:tc>
          <w:tcPr>
            <w:tcW w:w="5103" w:type="dxa"/>
          </w:tcPr>
          <w:p w14:paraId="5833085F" w14:textId="5EA465E6" w:rsidR="00C36835" w:rsidRPr="00DF7363" w:rsidRDefault="00E314FF" w:rsidP="00C368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DF7363">
              <w:rPr>
                <w:rFonts w:cstheme="minorHAnsi"/>
                <w:sz w:val="24"/>
              </w:rPr>
              <w:t>H</w:t>
            </w:r>
            <w:r w:rsidR="00C36835" w:rsidRPr="00DF7363">
              <w:rPr>
                <w:rFonts w:cstheme="minorHAnsi"/>
                <w:sz w:val="24"/>
              </w:rPr>
              <w:t>ow much funding may be retained by the local authority within the dedicated schools grant (for example, providing an admissions service, or providing additional funding for growing schools)</w:t>
            </w:r>
          </w:p>
          <w:p w14:paraId="38D511E8" w14:textId="0C3E341D" w:rsidR="00C36835" w:rsidRPr="00DF7363" w:rsidRDefault="00E314FF" w:rsidP="00C368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DF7363">
              <w:rPr>
                <w:rFonts w:cstheme="minorHAnsi"/>
                <w:sz w:val="24"/>
              </w:rPr>
              <w:t>A</w:t>
            </w:r>
            <w:r w:rsidR="00C36835" w:rsidRPr="00DF7363">
              <w:rPr>
                <w:rFonts w:cstheme="minorHAnsi"/>
                <w:sz w:val="24"/>
              </w:rPr>
              <w:t>ny proposed carry forward of deficits on central spend from one year to the next</w:t>
            </w:r>
          </w:p>
          <w:p w14:paraId="611CD29D" w14:textId="4E4CC8BC" w:rsidR="00C36835" w:rsidRPr="00DF7363" w:rsidRDefault="00E314FF" w:rsidP="00C368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DF7363">
              <w:rPr>
                <w:rFonts w:cstheme="minorHAnsi"/>
                <w:sz w:val="24"/>
              </w:rPr>
              <w:t>P</w:t>
            </w:r>
            <w:r w:rsidR="00C36835" w:rsidRPr="00DF7363">
              <w:rPr>
                <w:rFonts w:cstheme="minorHAnsi"/>
                <w:sz w:val="24"/>
              </w:rPr>
              <w:t>roposals to de-delegate funding from maintained primary and secondary schools (for example, for staff supply cover, insurance, behaviour support)</w:t>
            </w:r>
          </w:p>
          <w:p w14:paraId="12084848" w14:textId="477A8E44" w:rsidR="00C36835" w:rsidRPr="00DF7363" w:rsidRDefault="00E314FF" w:rsidP="00DF736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DF7363">
              <w:rPr>
                <w:rFonts w:cstheme="minorHAnsi"/>
                <w:sz w:val="24"/>
              </w:rPr>
              <w:t>C</w:t>
            </w:r>
            <w:r w:rsidR="00C36835" w:rsidRPr="00DF7363">
              <w:rPr>
                <w:rFonts w:cstheme="minorHAnsi"/>
                <w:sz w:val="24"/>
              </w:rPr>
              <w:t>hanges to the scheme of financial management</w:t>
            </w:r>
          </w:p>
        </w:tc>
      </w:tr>
    </w:tbl>
    <w:p w14:paraId="70C3BCE7" w14:textId="77777777" w:rsidR="005A59E7" w:rsidRPr="00DF7363" w:rsidRDefault="005A59E7" w:rsidP="005A59E7">
      <w:pPr>
        <w:pStyle w:val="NoSpacing"/>
        <w:rPr>
          <w:rFonts w:cstheme="minorHAnsi"/>
          <w:sz w:val="24"/>
        </w:rPr>
      </w:pPr>
    </w:p>
    <w:p w14:paraId="2032E75A" w14:textId="6026FE19" w:rsidR="00D84600" w:rsidRPr="00DF7363" w:rsidRDefault="00D84600" w:rsidP="005A59E7">
      <w:pPr>
        <w:pStyle w:val="NoSpacing"/>
        <w:rPr>
          <w:rFonts w:cstheme="minorHAnsi"/>
          <w:sz w:val="24"/>
        </w:rPr>
      </w:pPr>
      <w:r w:rsidRPr="00DF7363">
        <w:rPr>
          <w:rFonts w:cstheme="minorHAnsi"/>
          <w:sz w:val="24"/>
        </w:rPr>
        <w:t xml:space="preserve">Further details about the Forum and </w:t>
      </w:r>
      <w:r w:rsidR="003D478C" w:rsidRPr="00DF7363">
        <w:rPr>
          <w:rFonts w:cstheme="minorHAnsi"/>
          <w:sz w:val="24"/>
        </w:rPr>
        <w:t>its</w:t>
      </w:r>
      <w:r w:rsidRPr="00DF7363">
        <w:rPr>
          <w:rFonts w:cstheme="minorHAnsi"/>
          <w:sz w:val="24"/>
        </w:rPr>
        <w:t xml:space="preserve"> </w:t>
      </w:r>
      <w:r w:rsidR="0087008B" w:rsidRPr="00DF7363">
        <w:rPr>
          <w:rFonts w:cstheme="minorHAnsi"/>
          <w:sz w:val="24"/>
        </w:rPr>
        <w:t>role</w:t>
      </w:r>
      <w:r w:rsidRPr="00DF7363">
        <w:rPr>
          <w:rFonts w:cstheme="minorHAnsi"/>
          <w:sz w:val="24"/>
        </w:rPr>
        <w:t xml:space="preserve"> can be found of </w:t>
      </w:r>
      <w:r w:rsidR="003D478C" w:rsidRPr="00DF7363">
        <w:rPr>
          <w:rFonts w:cstheme="minorHAnsi"/>
          <w:sz w:val="24"/>
        </w:rPr>
        <w:t>their</w:t>
      </w:r>
      <w:r w:rsidRPr="00DF7363">
        <w:rPr>
          <w:rFonts w:cstheme="minorHAnsi"/>
          <w:sz w:val="24"/>
        </w:rPr>
        <w:t xml:space="preserve"> </w:t>
      </w:r>
      <w:hyperlink r:id="rId6" w:history="1">
        <w:r w:rsidR="00535953" w:rsidRPr="00DF7363">
          <w:rPr>
            <w:rStyle w:val="Hyperlink"/>
            <w:rFonts w:cstheme="minorHAnsi"/>
            <w:sz w:val="24"/>
          </w:rPr>
          <w:t>web page</w:t>
        </w:r>
      </w:hyperlink>
      <w:r w:rsidR="00535953" w:rsidRPr="00DF7363">
        <w:rPr>
          <w:rFonts w:cstheme="minorHAnsi"/>
          <w:sz w:val="24"/>
        </w:rPr>
        <w:t xml:space="preserve"> including</w:t>
      </w:r>
      <w:r w:rsidR="005A59E7" w:rsidRPr="00DF7363">
        <w:rPr>
          <w:rFonts w:cstheme="minorHAnsi"/>
          <w:sz w:val="24"/>
        </w:rPr>
        <w:t xml:space="preserve"> a</w:t>
      </w:r>
      <w:r w:rsidR="00535953" w:rsidRPr="00DF7363">
        <w:rPr>
          <w:rFonts w:cstheme="minorHAnsi"/>
          <w:sz w:val="24"/>
        </w:rPr>
        <w:t xml:space="preserve"> </w:t>
      </w:r>
      <w:hyperlink r:id="rId7" w:history="1">
        <w:r w:rsidR="005A59E7" w:rsidRPr="00DF7363">
          <w:rPr>
            <w:rStyle w:val="Hyperlink"/>
            <w:rFonts w:cstheme="minorHAnsi"/>
            <w:sz w:val="24"/>
          </w:rPr>
          <w:t>members induction</w:t>
        </w:r>
      </w:hyperlink>
      <w:r w:rsidR="00535953" w:rsidRPr="00DF7363">
        <w:rPr>
          <w:rFonts w:cstheme="minorHAnsi"/>
          <w:sz w:val="24"/>
        </w:rPr>
        <w:t xml:space="preserve"> </w:t>
      </w:r>
      <w:r w:rsidR="005A59E7" w:rsidRPr="00DF7363">
        <w:rPr>
          <w:rFonts w:cstheme="minorHAnsi"/>
          <w:sz w:val="24"/>
        </w:rPr>
        <w:t>presentation.</w:t>
      </w:r>
      <w:r w:rsidR="00396C10" w:rsidRPr="00DF7363">
        <w:rPr>
          <w:rFonts w:cstheme="minorHAnsi"/>
          <w:sz w:val="24"/>
        </w:rPr>
        <w:t xml:space="preserve"> </w:t>
      </w:r>
    </w:p>
    <w:p w14:paraId="5BE21DDE" w14:textId="77777777" w:rsidR="00396C10" w:rsidRPr="00DF7363" w:rsidRDefault="00396C10" w:rsidP="005A59E7">
      <w:pPr>
        <w:pStyle w:val="NoSpacing"/>
        <w:rPr>
          <w:rStyle w:val="Hyperlink"/>
          <w:rFonts w:cstheme="minorHAnsi"/>
          <w:sz w:val="24"/>
        </w:rPr>
      </w:pPr>
    </w:p>
    <w:p w14:paraId="75B9245B" w14:textId="677C63A7" w:rsidR="00DF7363" w:rsidRPr="00DF7363" w:rsidRDefault="003D478C" w:rsidP="00DF7363">
      <w:pPr>
        <w:rPr>
          <w:rFonts w:cstheme="minorHAnsi"/>
          <w:sz w:val="24"/>
          <w:highlight w:val="yellow"/>
        </w:rPr>
      </w:pPr>
      <w:r w:rsidRPr="00DF7363">
        <w:rPr>
          <w:rFonts w:cstheme="minorHAnsi"/>
          <w:sz w:val="24"/>
        </w:rPr>
        <w:t xml:space="preserve">If you would be interested in </w:t>
      </w:r>
      <w:r w:rsidR="0087008B" w:rsidRPr="00DF7363">
        <w:rPr>
          <w:rFonts w:cstheme="minorHAnsi"/>
          <w:sz w:val="24"/>
        </w:rPr>
        <w:t xml:space="preserve">joining us </w:t>
      </w:r>
      <w:r w:rsidRPr="00DF7363">
        <w:rPr>
          <w:rFonts w:cstheme="minorHAnsi"/>
          <w:sz w:val="24"/>
        </w:rPr>
        <w:t xml:space="preserve">please complete the attached nomination form by </w:t>
      </w:r>
      <w:r w:rsidR="00DF7363" w:rsidRPr="00BE2C2C">
        <w:rPr>
          <w:rFonts w:cstheme="minorHAnsi"/>
          <w:b/>
          <w:bCs/>
          <w:sz w:val="24"/>
          <w:highlight w:val="yellow"/>
        </w:rPr>
        <w:t>Friday 26 February 2021</w:t>
      </w:r>
      <w:r w:rsidR="00DF7363" w:rsidRPr="00BE2C2C">
        <w:rPr>
          <w:rFonts w:cstheme="minorHAnsi"/>
          <w:b/>
          <w:bCs/>
          <w:sz w:val="24"/>
        </w:rPr>
        <w:t xml:space="preserve"> </w:t>
      </w:r>
      <w:r w:rsidRPr="00DF7363">
        <w:rPr>
          <w:rFonts w:cstheme="minorHAnsi"/>
          <w:sz w:val="24"/>
        </w:rPr>
        <w:t xml:space="preserve">and return to </w:t>
      </w:r>
      <w:hyperlink r:id="rId8" w:history="1">
        <w:r w:rsidR="004C49FB" w:rsidRPr="00DF7363">
          <w:rPr>
            <w:rStyle w:val="Hyperlink"/>
            <w:rFonts w:cstheme="minorHAnsi"/>
            <w:sz w:val="24"/>
          </w:rPr>
          <w:t>democracy@buckinghamshire.gov.uk</w:t>
        </w:r>
      </w:hyperlink>
      <w:r w:rsidRPr="00DF7363">
        <w:rPr>
          <w:rFonts w:cstheme="minorHAnsi"/>
          <w:sz w:val="24"/>
        </w:rPr>
        <w:t xml:space="preserve">. </w:t>
      </w:r>
      <w:bookmarkStart w:id="0" w:name="_GoBack"/>
      <w:bookmarkEnd w:id="0"/>
    </w:p>
    <w:p w14:paraId="0CA0B401" w14:textId="5AB4BCA8" w:rsidR="0087008B" w:rsidRPr="00DF7363" w:rsidRDefault="0087008B" w:rsidP="005A59E7">
      <w:pPr>
        <w:jc w:val="both"/>
        <w:rPr>
          <w:rFonts w:cstheme="minorHAnsi"/>
          <w:sz w:val="24"/>
        </w:rPr>
      </w:pPr>
      <w:r w:rsidRPr="00DF7363">
        <w:rPr>
          <w:rFonts w:cstheme="minorHAnsi"/>
          <w:b/>
          <w:sz w:val="24"/>
        </w:rPr>
        <w:t>It is the responsibility of each candidate to ensure that his/her nomination is received in accordance with the procedure.</w:t>
      </w:r>
    </w:p>
    <w:p w14:paraId="0C26427D" w14:textId="77777777" w:rsidR="003D478C" w:rsidRPr="00DF7363" w:rsidRDefault="003D478C" w:rsidP="005A59E7">
      <w:pPr>
        <w:jc w:val="both"/>
        <w:rPr>
          <w:rFonts w:cstheme="minorHAnsi"/>
          <w:sz w:val="24"/>
        </w:rPr>
      </w:pPr>
      <w:r w:rsidRPr="00DF7363">
        <w:rPr>
          <w:rFonts w:cstheme="minorHAnsi"/>
          <w:sz w:val="24"/>
        </w:rPr>
        <w:t>Further information</w:t>
      </w:r>
      <w:r w:rsidR="0087008B" w:rsidRPr="00DF7363">
        <w:rPr>
          <w:rFonts w:cstheme="minorHAnsi"/>
          <w:sz w:val="24"/>
        </w:rPr>
        <w:t xml:space="preserve"> on</w:t>
      </w:r>
      <w:r w:rsidRPr="00DF7363">
        <w:rPr>
          <w:rFonts w:cstheme="minorHAnsi"/>
          <w:sz w:val="24"/>
        </w:rPr>
        <w:t xml:space="preserve"> the election process</w:t>
      </w:r>
      <w:r w:rsidR="0087008B" w:rsidRPr="00DF7363">
        <w:rPr>
          <w:rFonts w:cstheme="minorHAnsi"/>
          <w:sz w:val="24"/>
        </w:rPr>
        <w:t>,</w:t>
      </w:r>
      <w:r w:rsidRPr="00DF7363">
        <w:rPr>
          <w:rFonts w:cstheme="minorHAnsi"/>
          <w:sz w:val="24"/>
        </w:rPr>
        <w:t xml:space="preserve"> including </w:t>
      </w:r>
      <w:r w:rsidR="0087008B" w:rsidRPr="00DF7363">
        <w:rPr>
          <w:rFonts w:cstheme="minorHAnsi"/>
          <w:sz w:val="24"/>
        </w:rPr>
        <w:t>timescales, can be found attached.</w:t>
      </w:r>
    </w:p>
    <w:sectPr w:rsidR="003D478C" w:rsidRPr="00DF7363" w:rsidSect="005A5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64ECE"/>
    <w:multiLevelType w:val="hybridMultilevel"/>
    <w:tmpl w:val="00A28EF2"/>
    <w:lvl w:ilvl="0" w:tplc="61F45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47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ED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88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EA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21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00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86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E7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1D1D8E"/>
    <w:multiLevelType w:val="hybridMultilevel"/>
    <w:tmpl w:val="14B2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0271"/>
    <w:multiLevelType w:val="hybridMultilevel"/>
    <w:tmpl w:val="8E60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424D9"/>
    <w:multiLevelType w:val="hybridMultilevel"/>
    <w:tmpl w:val="219E2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944A6B"/>
    <w:multiLevelType w:val="hybridMultilevel"/>
    <w:tmpl w:val="64489342"/>
    <w:lvl w:ilvl="0" w:tplc="CB5886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88"/>
    <w:rsid w:val="001113E9"/>
    <w:rsid w:val="001971C9"/>
    <w:rsid w:val="0027539B"/>
    <w:rsid w:val="003637A4"/>
    <w:rsid w:val="00396C10"/>
    <w:rsid w:val="003D478C"/>
    <w:rsid w:val="00482C9E"/>
    <w:rsid w:val="004C49FB"/>
    <w:rsid w:val="00535953"/>
    <w:rsid w:val="005A59E7"/>
    <w:rsid w:val="006D33D5"/>
    <w:rsid w:val="0087008B"/>
    <w:rsid w:val="008C7151"/>
    <w:rsid w:val="00AD1D88"/>
    <w:rsid w:val="00BC0D72"/>
    <w:rsid w:val="00BE2C2C"/>
    <w:rsid w:val="00BF18FC"/>
    <w:rsid w:val="00C36835"/>
    <w:rsid w:val="00C54F42"/>
    <w:rsid w:val="00C7130C"/>
    <w:rsid w:val="00D84600"/>
    <w:rsid w:val="00DF7363"/>
    <w:rsid w:val="00E04F11"/>
    <w:rsid w:val="00E27DC6"/>
    <w:rsid w:val="00E314FF"/>
    <w:rsid w:val="00EF0BCF"/>
    <w:rsid w:val="00F6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7AE8"/>
  <w15:docId w15:val="{39CC8CA5-05CE-4362-A0ED-E785F57B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600"/>
    <w:rPr>
      <w:color w:val="0000FF"/>
      <w:u w:val="single"/>
    </w:rPr>
  </w:style>
  <w:style w:type="table" w:styleId="TableGrid">
    <w:name w:val="Table Grid"/>
    <w:basedOn w:val="TableNormal"/>
    <w:uiPriority w:val="59"/>
    <w:rsid w:val="00C3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835"/>
    <w:pPr>
      <w:ind w:left="720"/>
      <w:contextualSpacing/>
    </w:pPr>
  </w:style>
  <w:style w:type="paragraph" w:styleId="NoSpacing">
    <w:name w:val="No Spacing"/>
    <w:uiPriority w:val="1"/>
    <w:qFormat/>
    <w:rsid w:val="005A59E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C4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buckinghamshire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democracy.buckscc.gov.uk/documents/s134158/Schools%20Forum%20Induc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mocracy.buckscc.gov.uk/mgCommitteeDetails.aspx?ID=4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66F5-0DD0-4EE2-948A-5F089BBB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Kenward, Anne-Marie</dc:creator>
  <cp:lastModifiedBy>Christina Beevers</cp:lastModifiedBy>
  <cp:revision>5</cp:revision>
  <dcterms:created xsi:type="dcterms:W3CDTF">2020-09-08T09:03:00Z</dcterms:created>
  <dcterms:modified xsi:type="dcterms:W3CDTF">2021-02-10T12:04:00Z</dcterms:modified>
</cp:coreProperties>
</file>