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58EE" w14:textId="51F4A4F3" w:rsidR="00F74238" w:rsidRPr="007D08AA" w:rsidRDefault="00F74238" w:rsidP="007D08AA">
      <w:pPr>
        <w:spacing w:after="0" w:line="240" w:lineRule="auto"/>
        <w:contextualSpacing/>
        <w:rPr>
          <w:b/>
          <w:u w:val="single"/>
        </w:rPr>
      </w:pPr>
      <w:bookmarkStart w:id="0" w:name="_GoBack"/>
      <w:r w:rsidRPr="007D08AA">
        <w:rPr>
          <w:b/>
          <w:u w:val="single"/>
        </w:rPr>
        <w:t>SMST Analysis 202</w:t>
      </w:r>
      <w:r w:rsidR="007E140E">
        <w:rPr>
          <w:b/>
          <w:u w:val="single"/>
        </w:rPr>
        <w:t>1</w:t>
      </w:r>
    </w:p>
    <w:p w14:paraId="5B125BEE" w14:textId="77777777" w:rsidR="007D08AA" w:rsidRDefault="007D08AA" w:rsidP="007D08AA">
      <w:pPr>
        <w:spacing w:after="0" w:line="240" w:lineRule="auto"/>
        <w:contextualSpacing/>
      </w:pPr>
    </w:p>
    <w:p w14:paraId="6A5D9F83" w14:textId="77777777" w:rsidR="00C714DE" w:rsidRDefault="00C714DE" w:rsidP="00C714DE">
      <w:pPr>
        <w:spacing w:after="0" w:line="240" w:lineRule="auto"/>
        <w:contextualSpacing/>
      </w:pPr>
      <w:r>
        <w:t>Schools may already be aware of the</w:t>
      </w:r>
      <w:r w:rsidRPr="00C714DE">
        <w:t xml:space="preserve"> National Consortium of Examination Results (NCER), which includes all LAs in England.  </w:t>
      </w:r>
      <w:r>
        <w:t xml:space="preserve">We have worked with NCER for a number of years to enable us to share “emerging national results” in July for primary assessments and </w:t>
      </w:r>
      <w:r w:rsidR="00D1633F">
        <w:t xml:space="preserve">in </w:t>
      </w:r>
      <w:r>
        <w:t>August for GCSEs.</w:t>
      </w:r>
    </w:p>
    <w:p w14:paraId="24BD4D91" w14:textId="77777777" w:rsidR="00C714DE" w:rsidRDefault="00C714DE" w:rsidP="007D08AA">
      <w:pPr>
        <w:spacing w:after="0" w:line="240" w:lineRule="auto"/>
        <w:contextualSpacing/>
      </w:pPr>
    </w:p>
    <w:p w14:paraId="0D557983" w14:textId="3CE62E40" w:rsidR="004E4F5F" w:rsidRDefault="00F74238" w:rsidP="007D08AA">
      <w:pPr>
        <w:spacing w:after="0" w:line="240" w:lineRule="auto"/>
        <w:contextualSpacing/>
      </w:pPr>
      <w:r>
        <w:t xml:space="preserve">Through NCER we </w:t>
      </w:r>
      <w:r w:rsidR="00EC2E4A">
        <w:t>can</w:t>
      </w:r>
      <w:r>
        <w:t xml:space="preserve"> collect 202</w:t>
      </w:r>
      <w:r w:rsidR="007E140E">
        <w:t>1</w:t>
      </w:r>
      <w:r>
        <w:t xml:space="preserve"> assessment data from schools on a non-statutory and voluntary basis.  </w:t>
      </w:r>
      <w:r w:rsidR="007E140E">
        <w:t>We offered a similar service for 2020 assessments which was welcomed by schools, so we intend to do the same for 2021.  W</w:t>
      </w:r>
      <w:r w:rsidR="004E4F5F">
        <w:t>e believe that schools may appreciate some analysis of pupil outcomes to support their own understanding of current attainment and progress within their school.</w:t>
      </w:r>
    </w:p>
    <w:p w14:paraId="23235528" w14:textId="77777777" w:rsidR="00214E7C" w:rsidRDefault="00214E7C" w:rsidP="007D08AA">
      <w:pPr>
        <w:spacing w:after="0" w:line="240" w:lineRule="auto"/>
        <w:contextualSpacing/>
      </w:pPr>
    </w:p>
    <w:p w14:paraId="1D86ACB6" w14:textId="0C20E614" w:rsidR="00214E7C" w:rsidRDefault="00214E7C" w:rsidP="00214E7C">
      <w:pPr>
        <w:spacing w:after="0" w:line="240" w:lineRule="auto"/>
        <w:contextualSpacing/>
      </w:pPr>
      <w:r w:rsidRPr="00EA7683">
        <w:t>It is important to note that</w:t>
      </w:r>
      <w:r w:rsidR="00A07443">
        <w:t>, in line with current DfE guidance, collection and</w:t>
      </w:r>
      <w:r w:rsidRPr="00EA7683">
        <w:t xml:space="preserve"> </w:t>
      </w:r>
      <w:r w:rsidR="00A07443">
        <w:t>analysis of</w:t>
      </w:r>
      <w:r>
        <w:t xml:space="preserve"> </w:t>
      </w:r>
      <w:r w:rsidRPr="00EA7683">
        <w:t>202</w:t>
      </w:r>
      <w:r w:rsidR="007E140E">
        <w:t>1</w:t>
      </w:r>
      <w:r w:rsidRPr="00EA7683">
        <w:t xml:space="preserve"> data </w:t>
      </w:r>
      <w:r>
        <w:t>would be</w:t>
      </w:r>
      <w:r w:rsidRPr="00EA7683">
        <w:t xml:space="preserve"> for the purpose of supporting schools in their self-evaluation</w:t>
      </w:r>
      <w:r>
        <w:t>,</w:t>
      </w:r>
      <w:r w:rsidRPr="00EA7683">
        <w:t xml:space="preserve"> and</w:t>
      </w:r>
      <w:r>
        <w:t xml:space="preserve"> it</w:t>
      </w:r>
      <w:r w:rsidRPr="00EA7683">
        <w:t xml:space="preserve"> </w:t>
      </w:r>
      <w:r>
        <w:t xml:space="preserve">would </w:t>
      </w:r>
      <w:r w:rsidRPr="00EA7683">
        <w:t>not</w:t>
      </w:r>
      <w:r>
        <w:t xml:space="preserve"> be used</w:t>
      </w:r>
      <w:r w:rsidRPr="00EA7683">
        <w:t xml:space="preserve"> for accountability purposes.</w:t>
      </w:r>
      <w:r>
        <w:t xml:space="preserve">  </w:t>
      </w:r>
      <w:r w:rsidRPr="0007230A">
        <w:t xml:space="preserve">We also know that the information we </w:t>
      </w:r>
      <w:r w:rsidR="0007230A" w:rsidRPr="0007230A">
        <w:t xml:space="preserve">will be able to </w:t>
      </w:r>
      <w:r w:rsidRPr="0007230A">
        <w:t>collect will be limited, and will therefore mean that some of our usual analysis is either not possible or not appropriate.</w:t>
      </w:r>
    </w:p>
    <w:p w14:paraId="529C790A" w14:textId="77777777" w:rsidR="00214E7C" w:rsidRDefault="00214E7C" w:rsidP="00214E7C">
      <w:pPr>
        <w:spacing w:after="0" w:line="240" w:lineRule="auto"/>
        <w:contextualSpacing/>
      </w:pPr>
    </w:p>
    <w:p w14:paraId="57DC53F1" w14:textId="312D2531" w:rsidR="007D08AA" w:rsidRDefault="00214E7C" w:rsidP="00214E7C">
      <w:pPr>
        <w:spacing w:after="0" w:line="240" w:lineRule="auto"/>
        <w:contextualSpacing/>
        <w:rPr>
          <w:b/>
          <w:i/>
        </w:rPr>
      </w:pPr>
      <w:r w:rsidRPr="00864E1B">
        <w:rPr>
          <w:b/>
          <w:i/>
        </w:rPr>
        <w:t>202</w:t>
      </w:r>
      <w:r w:rsidR="007E140E">
        <w:rPr>
          <w:b/>
          <w:i/>
        </w:rPr>
        <w:t>1</w:t>
      </w:r>
      <w:r w:rsidRPr="00864E1B">
        <w:rPr>
          <w:b/>
          <w:i/>
        </w:rPr>
        <w:t xml:space="preserve"> assessments remain non-statutory, and participation in the collection and analysis </w:t>
      </w:r>
      <w:r w:rsidR="004E4F5F">
        <w:rPr>
          <w:b/>
          <w:i/>
        </w:rPr>
        <w:t>will</w:t>
      </w:r>
      <w:r w:rsidRPr="00864E1B">
        <w:rPr>
          <w:b/>
          <w:i/>
        </w:rPr>
        <w:t xml:space="preserve"> be voluntary.</w:t>
      </w:r>
    </w:p>
    <w:p w14:paraId="3A8D2030" w14:textId="77777777" w:rsidR="00214E7C" w:rsidRDefault="00214E7C" w:rsidP="00214E7C">
      <w:pPr>
        <w:spacing w:after="0" w:line="240" w:lineRule="auto"/>
        <w:contextualSpacing/>
      </w:pPr>
    </w:p>
    <w:p w14:paraId="5318B0E5" w14:textId="77777777" w:rsidR="00F74238" w:rsidRDefault="00A07443" w:rsidP="007D08AA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What we can </w:t>
      </w:r>
      <w:r w:rsidR="007D08AA" w:rsidRPr="007D08AA">
        <w:rPr>
          <w:u w:val="single"/>
        </w:rPr>
        <w:t>collect</w:t>
      </w:r>
      <w:r w:rsidR="00C714DE">
        <w:rPr>
          <w:u w:val="single"/>
        </w:rPr>
        <w:t xml:space="preserve"> and analyse through NCER</w:t>
      </w:r>
    </w:p>
    <w:p w14:paraId="75472AC3" w14:textId="77777777" w:rsidR="00164199" w:rsidRPr="007D08AA" w:rsidRDefault="00164199" w:rsidP="007D08AA">
      <w:pPr>
        <w:spacing w:after="0" w:line="240" w:lineRule="auto"/>
        <w:contextualSpacing/>
        <w:rPr>
          <w:u w:val="single"/>
        </w:rPr>
      </w:pPr>
    </w:p>
    <w:p w14:paraId="4640786B" w14:textId="193A37D9" w:rsidR="00C714DE" w:rsidRDefault="00C714DE" w:rsidP="007D08AA">
      <w:pPr>
        <w:spacing w:after="0" w:line="240" w:lineRule="auto"/>
        <w:contextualSpacing/>
      </w:pPr>
      <w:r>
        <w:t>NCER software allow</w:t>
      </w:r>
      <w:r w:rsidR="00A07443">
        <w:t>s</w:t>
      </w:r>
      <w:r>
        <w:t xml:space="preserve"> us to collect and analyse</w:t>
      </w:r>
      <w:r w:rsidR="00164199">
        <w:t xml:space="preserve"> </w:t>
      </w:r>
      <w:r w:rsidR="00164199" w:rsidRPr="00164199">
        <w:t>end of year</w:t>
      </w:r>
      <w:r w:rsidR="00164199">
        <w:t xml:space="preserve"> </w:t>
      </w:r>
      <w:r w:rsidR="00164199" w:rsidRPr="00164199">
        <w:t>assessment data for 202</w:t>
      </w:r>
      <w:r w:rsidR="007E140E">
        <w:t>1</w:t>
      </w:r>
      <w:r w:rsidR="00164199" w:rsidRPr="00164199">
        <w:t xml:space="preserve"> EYFS, Phonics, Key Stage 1 and Key Stage 2</w:t>
      </w:r>
      <w:r w:rsidR="00164199">
        <w:t xml:space="preserve">.  </w:t>
      </w:r>
      <w:r w:rsidR="00A7765E">
        <w:t xml:space="preserve">We are </w:t>
      </w:r>
      <w:r w:rsidR="00E460C1">
        <w:t>planning</w:t>
      </w:r>
      <w:r w:rsidR="001C154D">
        <w:t xml:space="preserve"> to</w:t>
      </w:r>
      <w:r w:rsidR="00A7765E">
        <w:t xml:space="preserve"> </w:t>
      </w:r>
      <w:r w:rsidR="001C154D">
        <w:t>collect EYFS, KS1 and KS2 from s</w:t>
      </w:r>
      <w:r w:rsidR="00A7765E">
        <w:t xml:space="preserve">chools who wish to receive analysis.  </w:t>
      </w:r>
      <w:r w:rsidR="00164199">
        <w:t xml:space="preserve">For secondary schools NCER </w:t>
      </w:r>
      <w:r w:rsidR="00A07443">
        <w:t>will</w:t>
      </w:r>
      <w:r w:rsidR="00164199">
        <w:t xml:space="preserve"> use </w:t>
      </w:r>
      <w:r w:rsidR="00164199" w:rsidRPr="00164199">
        <w:t>Key Stage 4 assessment data (GCSE)</w:t>
      </w:r>
    </w:p>
    <w:p w14:paraId="32588B32" w14:textId="77777777" w:rsidR="00C714DE" w:rsidRDefault="00C714DE" w:rsidP="007D08AA">
      <w:pPr>
        <w:spacing w:after="0" w:line="240" w:lineRule="auto"/>
        <w:contextualSpacing/>
      </w:pPr>
    </w:p>
    <w:p w14:paraId="09E0CD57" w14:textId="5A427E36" w:rsidR="00C714DE" w:rsidRDefault="00C714DE" w:rsidP="007D08AA">
      <w:pPr>
        <w:spacing w:after="0" w:line="240" w:lineRule="auto"/>
        <w:contextualSpacing/>
      </w:pPr>
      <w:r>
        <w:t xml:space="preserve">Primary assessments </w:t>
      </w:r>
      <w:r w:rsidR="001C154D">
        <w:t>will</w:t>
      </w:r>
      <w:r>
        <w:t xml:space="preserve"> require us to collect the pupil level data direct from schools</w:t>
      </w:r>
      <w:r w:rsidR="0007230A">
        <w:t xml:space="preserve">, </w:t>
      </w:r>
      <w:r>
        <w:t xml:space="preserve">via </w:t>
      </w:r>
      <w:r w:rsidR="00164199">
        <w:t xml:space="preserve">simple </w:t>
      </w:r>
      <w:r>
        <w:t>spreadsheets.</w:t>
      </w:r>
      <w:r w:rsidR="00164199">
        <w:t xml:space="preserve">  At KS4 NCER </w:t>
      </w:r>
      <w:r w:rsidR="0007230A">
        <w:t>will be able to</w:t>
      </w:r>
      <w:r w:rsidR="00164199" w:rsidRPr="00164199">
        <w:t xml:space="preserve"> use the exam results files sent to schools by examination organisations</w:t>
      </w:r>
      <w:r w:rsidR="007E140E">
        <w:t xml:space="preserve"> for most qualifications</w:t>
      </w:r>
      <w:r w:rsidR="001C154D">
        <w:t>, and we will ask secondary schools to share these files with us rather than asking them to spend time putting the information into a different format</w:t>
      </w:r>
      <w:r w:rsidR="00164199" w:rsidRPr="00164199">
        <w:t>.</w:t>
      </w:r>
      <w:r w:rsidR="00603E8A">
        <w:t xml:space="preserve">  </w:t>
      </w:r>
      <w:r w:rsidR="007E140E">
        <w:t xml:space="preserve">The only exception is some of the </w:t>
      </w:r>
      <w:proofErr w:type="spellStart"/>
      <w:r w:rsidR="007E140E">
        <w:t>Btec</w:t>
      </w:r>
      <w:proofErr w:type="spellEnd"/>
      <w:r w:rsidR="007E140E">
        <w:t xml:space="preserve"> and other vocational qualifications, which will need to be collected separately.  </w:t>
      </w:r>
      <w:r w:rsidR="00603E8A">
        <w:t xml:space="preserve">We will be sending out further information about how/when to submit your data </w:t>
      </w:r>
      <w:r w:rsidR="00EC2E4A">
        <w:t>after Easter</w:t>
      </w:r>
      <w:r w:rsidR="00603E8A">
        <w:t>.</w:t>
      </w:r>
    </w:p>
    <w:p w14:paraId="103243B9" w14:textId="77777777" w:rsidR="00864E1B" w:rsidRDefault="00864E1B" w:rsidP="007D08AA">
      <w:pPr>
        <w:spacing w:after="0" w:line="240" w:lineRule="auto"/>
        <w:contextualSpacing/>
      </w:pPr>
    </w:p>
    <w:p w14:paraId="735CBDC3" w14:textId="711D3F2F" w:rsidR="00A7765E" w:rsidRDefault="00A7765E" w:rsidP="007D08AA">
      <w:pPr>
        <w:spacing w:after="0" w:line="240" w:lineRule="auto"/>
        <w:contextualSpacing/>
      </w:pPr>
      <w:r>
        <w:t>For primary schools we plan</w:t>
      </w:r>
      <w:r w:rsidR="00603E8A">
        <w:t xml:space="preserve"> to</w:t>
      </w:r>
      <w:r>
        <w:t xml:space="preserve"> </w:t>
      </w:r>
      <w:r w:rsidR="004E4F5F">
        <w:t>allow schools to submit their pupil outcomes up until 1</w:t>
      </w:r>
      <w:r w:rsidR="007E140E">
        <w:t>4</w:t>
      </w:r>
      <w:r w:rsidR="004E4F5F" w:rsidRPr="004E4F5F">
        <w:rPr>
          <w:vertAlign w:val="superscript"/>
        </w:rPr>
        <w:t>th</w:t>
      </w:r>
      <w:r w:rsidR="004E4F5F">
        <w:t xml:space="preserve"> </w:t>
      </w:r>
      <w:r w:rsidR="007E140E">
        <w:t>July</w:t>
      </w:r>
      <w:r w:rsidR="004E4F5F">
        <w:t xml:space="preserve">.  </w:t>
      </w:r>
      <w:r w:rsidR="007E140E">
        <w:t>This should allow us</w:t>
      </w:r>
      <w:r w:rsidR="004E4F5F">
        <w:t xml:space="preserve"> to provide some initial </w:t>
      </w:r>
      <w:r>
        <w:t xml:space="preserve">headline information in advance of the end of the summer </w:t>
      </w:r>
      <w:r w:rsidR="007E140E">
        <w:t>term, with</w:t>
      </w:r>
      <w:r w:rsidR="004E4F5F">
        <w:t xml:space="preserve"> </w:t>
      </w:r>
      <w:r w:rsidR="002B79CE">
        <w:t>further analysis</w:t>
      </w:r>
      <w:r w:rsidR="007E140E">
        <w:t xml:space="preserve"> available from </w:t>
      </w:r>
      <w:r w:rsidR="002B79CE">
        <w:t>September</w:t>
      </w:r>
      <w:r w:rsidR="007E140E">
        <w:t xml:space="preserve"> as usual</w:t>
      </w:r>
      <w:r>
        <w:t>.</w:t>
      </w:r>
    </w:p>
    <w:p w14:paraId="47E8CC76" w14:textId="77777777" w:rsidR="00A7765E" w:rsidRDefault="00A7765E" w:rsidP="007D08AA">
      <w:pPr>
        <w:spacing w:after="0" w:line="240" w:lineRule="auto"/>
        <w:contextualSpacing/>
      </w:pPr>
    </w:p>
    <w:p w14:paraId="48F8B6FD" w14:textId="647E652B" w:rsidR="00603E8A" w:rsidRDefault="00A7765E" w:rsidP="007D08AA">
      <w:pPr>
        <w:spacing w:after="0" w:line="240" w:lineRule="auto"/>
        <w:contextualSpacing/>
      </w:pPr>
      <w:r>
        <w:t>For secondary schools</w:t>
      </w:r>
      <w:r w:rsidR="00221563">
        <w:t>,</w:t>
      </w:r>
      <w:r>
        <w:t xml:space="preserve"> data will be collected after results day</w:t>
      </w:r>
      <w:r w:rsidR="007E140E">
        <w:t xml:space="preserve"> in August</w:t>
      </w:r>
      <w:r w:rsidR="00864E1B">
        <w:t>.</w:t>
      </w:r>
    </w:p>
    <w:bookmarkEnd w:id="0"/>
    <w:p w14:paraId="0890E5E0" w14:textId="77777777" w:rsidR="00C714DE" w:rsidRDefault="00C714DE" w:rsidP="007D08AA">
      <w:pPr>
        <w:spacing w:after="0" w:line="240" w:lineRule="auto"/>
        <w:contextualSpacing/>
      </w:pPr>
    </w:p>
    <w:p w14:paraId="39CF6D4F" w14:textId="77777777" w:rsidR="007D08AA" w:rsidRDefault="007D08AA" w:rsidP="007D08AA">
      <w:pPr>
        <w:spacing w:after="0" w:line="240" w:lineRule="auto"/>
        <w:contextualSpacing/>
        <w:rPr>
          <w:u w:val="single"/>
        </w:rPr>
      </w:pPr>
      <w:r w:rsidRPr="00EA7683">
        <w:rPr>
          <w:u w:val="single"/>
        </w:rPr>
        <w:t xml:space="preserve">What we </w:t>
      </w:r>
      <w:r w:rsidR="00A7765E">
        <w:rPr>
          <w:u w:val="single"/>
        </w:rPr>
        <w:t>will</w:t>
      </w:r>
      <w:r w:rsidRPr="00EA7683">
        <w:rPr>
          <w:u w:val="single"/>
        </w:rPr>
        <w:t xml:space="preserve"> provide</w:t>
      </w:r>
    </w:p>
    <w:p w14:paraId="65A14C9C" w14:textId="77777777" w:rsidR="00EA7683" w:rsidRDefault="00EA7683" w:rsidP="007D08AA">
      <w:pPr>
        <w:spacing w:after="0" w:line="240" w:lineRule="auto"/>
        <w:contextualSpacing/>
      </w:pPr>
    </w:p>
    <w:p w14:paraId="7804DF80" w14:textId="4315FBE9" w:rsidR="00214E7C" w:rsidRDefault="00214E7C" w:rsidP="007D08AA">
      <w:pPr>
        <w:spacing w:after="0" w:line="240" w:lineRule="auto"/>
        <w:contextualSpacing/>
      </w:pPr>
      <w:r>
        <w:t xml:space="preserve">With changes to the use of the data and also to the data available (TA only and no </w:t>
      </w:r>
      <w:r w:rsidR="007E140E">
        <w:t xml:space="preserve">externally marked </w:t>
      </w:r>
      <w:r>
        <w:t xml:space="preserve">tests at KS2 etc) the analysis you get may look a bit different to previous years – where possible we </w:t>
      </w:r>
      <w:r w:rsidR="00A7765E">
        <w:t>will</w:t>
      </w:r>
      <w:r>
        <w:t xml:space="preserve"> provide similar data to 2019, but some packs may need to be modified or temporarily replaced with templates</w:t>
      </w:r>
      <w:r w:rsidR="007E140E">
        <w:t xml:space="preserve"> developed for 2020 analysis</w:t>
      </w:r>
      <w:r>
        <w:t>.</w:t>
      </w:r>
    </w:p>
    <w:p w14:paraId="6DFF21BD" w14:textId="77777777" w:rsidR="00214E7C" w:rsidRDefault="00214E7C" w:rsidP="007D08AA">
      <w:pPr>
        <w:spacing w:after="0" w:line="240" w:lineRule="auto"/>
        <w:contextualSpacing/>
      </w:pPr>
    </w:p>
    <w:p w14:paraId="6FBE53C2" w14:textId="77777777" w:rsidR="00214E7C" w:rsidRDefault="00EA7683" w:rsidP="007D08AA">
      <w:pPr>
        <w:spacing w:after="0" w:line="240" w:lineRule="auto"/>
        <w:contextualSpacing/>
      </w:pPr>
      <w:r>
        <w:t xml:space="preserve">We aim to provide analysis that </w:t>
      </w:r>
      <w:r w:rsidR="00A7765E">
        <w:t>will</w:t>
      </w:r>
      <w:r>
        <w:t xml:space="preserve"> show a school their own outcomes against their previous results/trends and against LA averages (split by selective/non-selective schools as appropriate for secondary schools).  </w:t>
      </w:r>
      <w:r w:rsidR="00D1633F">
        <w:t xml:space="preserve">We </w:t>
      </w:r>
      <w:r w:rsidR="00A7765E">
        <w:t>will</w:t>
      </w:r>
      <w:r w:rsidR="00D1633F">
        <w:t xml:space="preserve"> also include</w:t>
      </w:r>
      <w:r>
        <w:t xml:space="preserve"> proxy national figures calculated </w:t>
      </w:r>
      <w:r w:rsidR="00A7765E">
        <w:t>by NCER by combining</w:t>
      </w:r>
      <w:r w:rsidR="00D1633F">
        <w:t xml:space="preserve"> data from all participating LAs in a similar way to the usual “emerging national” figures</w:t>
      </w:r>
      <w:r>
        <w:t>.</w:t>
      </w:r>
    </w:p>
    <w:p w14:paraId="73A01C4E" w14:textId="77777777" w:rsidR="00214E7C" w:rsidRDefault="00214E7C" w:rsidP="007D08AA">
      <w:pPr>
        <w:spacing w:after="0" w:line="240" w:lineRule="auto"/>
        <w:contextualSpacing/>
      </w:pPr>
    </w:p>
    <w:p w14:paraId="606ACCA7" w14:textId="77777777" w:rsidR="00EA7683" w:rsidRDefault="00EA7683" w:rsidP="007D08AA">
      <w:pPr>
        <w:spacing w:after="0" w:line="240" w:lineRule="auto"/>
        <w:contextualSpacing/>
      </w:pPr>
      <w:r>
        <w:t xml:space="preserve">We </w:t>
      </w:r>
      <w:r w:rsidR="00A7765E">
        <w:t>will</w:t>
      </w:r>
      <w:r>
        <w:t xml:space="preserve"> not</w:t>
      </w:r>
    </w:p>
    <w:p w14:paraId="7C3A074B" w14:textId="77777777" w:rsidR="00864E1B" w:rsidRDefault="00864E1B" w:rsidP="00EA76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Moderate results in any way – results </w:t>
      </w:r>
      <w:r w:rsidR="00A7765E">
        <w:t>will</w:t>
      </w:r>
      <w:r>
        <w:t xml:space="preserve"> be used as submitted by schools</w:t>
      </w:r>
    </w:p>
    <w:p w14:paraId="5936C646" w14:textId="5250C8A7" w:rsidR="00EA7683" w:rsidRDefault="00EA7683" w:rsidP="00EA7683">
      <w:pPr>
        <w:pStyle w:val="ListParagraph"/>
        <w:numPr>
          <w:ilvl w:val="0"/>
          <w:numId w:val="1"/>
        </w:numPr>
        <w:spacing w:after="0" w:line="240" w:lineRule="auto"/>
      </w:pPr>
      <w:r>
        <w:t>Provide individual school level benchmarking for 202</w:t>
      </w:r>
      <w:r w:rsidR="007E140E">
        <w:t>1</w:t>
      </w:r>
      <w:r>
        <w:t xml:space="preserve">, as we </w:t>
      </w:r>
      <w:r w:rsidR="007E140E">
        <w:t xml:space="preserve">have previously done </w:t>
      </w:r>
      <w:r>
        <w:t xml:space="preserve">in our School Performance Analysis (SPA) and School Indicators systems – each school </w:t>
      </w:r>
      <w:r w:rsidR="001C154D">
        <w:t>will</w:t>
      </w:r>
      <w:r>
        <w:t xml:space="preserve"> only be able to see their own data and </w:t>
      </w:r>
      <w:r w:rsidR="002B79CE">
        <w:t>national/</w:t>
      </w:r>
      <w:r>
        <w:t>LA/group averages.</w:t>
      </w:r>
    </w:p>
    <w:p w14:paraId="2561595A" w14:textId="77777777" w:rsidR="00EA7683" w:rsidRDefault="00EA7683" w:rsidP="00EA76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Share </w:t>
      </w:r>
      <w:r w:rsidR="00864E1B">
        <w:t xml:space="preserve">any </w:t>
      </w:r>
      <w:r>
        <w:t>data</w:t>
      </w:r>
      <w:r w:rsidR="00864E1B">
        <w:t xml:space="preserve"> or analysis</w:t>
      </w:r>
      <w:r>
        <w:t xml:space="preserve"> with DfE/Ofsted</w:t>
      </w:r>
    </w:p>
    <w:p w14:paraId="22AD9715" w14:textId="77777777" w:rsidR="00D1633F" w:rsidRDefault="00D1633F" w:rsidP="00EA76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</w:t>
      </w:r>
      <w:r w:rsidR="00864E1B">
        <w:t xml:space="preserve">copies of any of the </w:t>
      </w:r>
      <w:r>
        <w:t xml:space="preserve">analysis available to governors via </w:t>
      </w:r>
      <w:proofErr w:type="spellStart"/>
      <w:r>
        <w:t>SchoolsWeb</w:t>
      </w:r>
      <w:proofErr w:type="spellEnd"/>
    </w:p>
    <w:p w14:paraId="7889BBBF" w14:textId="77777777" w:rsidR="00EA7683" w:rsidRDefault="00EA7683" w:rsidP="00EA7683">
      <w:pPr>
        <w:pStyle w:val="ListParagraph"/>
        <w:numPr>
          <w:ilvl w:val="0"/>
          <w:numId w:val="1"/>
        </w:numPr>
        <w:spacing w:after="0" w:line="240" w:lineRule="auto"/>
      </w:pPr>
      <w:r>
        <w:t>Automatically share analysis packs with other teams within the council</w:t>
      </w:r>
      <w:r w:rsidR="00D1633F">
        <w:t xml:space="preserve"> – analysis will be provided for internal school use, and it </w:t>
      </w:r>
      <w:r w:rsidR="001C154D">
        <w:t>will</w:t>
      </w:r>
      <w:r w:rsidR="00D1633F">
        <w:t xml:space="preserve"> be up to schools if they </w:t>
      </w:r>
      <w:r w:rsidR="001C154D">
        <w:t>want</w:t>
      </w:r>
      <w:r w:rsidR="00D1633F">
        <w:t xml:space="preserve"> to share the analysis more widely</w:t>
      </w:r>
    </w:p>
    <w:p w14:paraId="56F4744A" w14:textId="77777777" w:rsidR="007D08AA" w:rsidRDefault="007D08AA" w:rsidP="00864E1B">
      <w:pPr>
        <w:spacing w:after="0" w:line="240" w:lineRule="auto"/>
        <w:contextualSpacing/>
      </w:pPr>
    </w:p>
    <w:p w14:paraId="7B1E15EB" w14:textId="77777777" w:rsidR="002B79CE" w:rsidRDefault="002B79CE" w:rsidP="00864E1B">
      <w:pPr>
        <w:spacing w:after="0" w:line="240" w:lineRule="auto"/>
        <w:contextualSpacing/>
      </w:pPr>
    </w:p>
    <w:p w14:paraId="4C3BCCCF" w14:textId="77777777" w:rsidR="007D08AA" w:rsidRPr="00164199" w:rsidRDefault="001C154D" w:rsidP="00864E1B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Impact on annual buyback costs</w:t>
      </w:r>
    </w:p>
    <w:p w14:paraId="2D2D0588" w14:textId="77777777" w:rsidR="00164199" w:rsidRDefault="00164199" w:rsidP="00864E1B">
      <w:pPr>
        <w:spacing w:after="0" w:line="240" w:lineRule="auto"/>
        <w:contextualSpacing/>
      </w:pPr>
    </w:p>
    <w:p w14:paraId="3339EE33" w14:textId="7507F03B" w:rsidR="001C154D" w:rsidRDefault="007D08AA" w:rsidP="00864E1B">
      <w:pPr>
        <w:spacing w:after="0" w:line="240" w:lineRule="auto"/>
      </w:pPr>
      <w:r>
        <w:t xml:space="preserve">Most of the current </w:t>
      </w:r>
      <w:r w:rsidR="001C154D">
        <w:t xml:space="preserve">attainment and progress </w:t>
      </w:r>
      <w:r>
        <w:t>analysis from the team is provided as part of an annual buyback package</w:t>
      </w:r>
      <w:r w:rsidR="001C154D">
        <w:t>, alongside analysis of other data (e.g. context, income and expenditure) and support for schools</w:t>
      </w:r>
      <w:r>
        <w:t xml:space="preserve">.  </w:t>
      </w:r>
      <w:r w:rsidR="001C154D">
        <w:t>We know that we will not be able to provide the full range of attainment/progress analysis this year, although we will provide as much as we can based on data that schools choose to share with us</w:t>
      </w:r>
      <w:r>
        <w:t xml:space="preserve">.  We </w:t>
      </w:r>
      <w:r w:rsidR="001C154D">
        <w:t xml:space="preserve">have therefore decided to provide our </w:t>
      </w:r>
      <w:r>
        <w:t>202</w:t>
      </w:r>
      <w:r w:rsidR="003B5239">
        <w:t>1</w:t>
      </w:r>
      <w:r>
        <w:t xml:space="preserve"> package </w:t>
      </w:r>
      <w:r w:rsidR="001C154D">
        <w:t>at a discounted rate</w:t>
      </w:r>
      <w:r w:rsidR="003B5239">
        <w:t>, in line with 2020 prices which were also discounted</w:t>
      </w:r>
      <w:r w:rsidR="001C154D">
        <w:t>.  Details have already been circulated through the commercial services team, but the table below shows the confirmed prices.</w:t>
      </w:r>
    </w:p>
    <w:p w14:paraId="5073F26B" w14:textId="77777777" w:rsidR="00864E1B" w:rsidRDefault="00214E7C" w:rsidP="00864E1B">
      <w:pPr>
        <w:spacing w:after="0" w:line="240" w:lineRule="auto"/>
      </w:pPr>
      <w:r>
        <w:t xml:space="preserve">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720"/>
        <w:gridCol w:w="2360"/>
        <w:gridCol w:w="2360"/>
      </w:tblGrid>
      <w:tr w:rsidR="002565D1" w:rsidRPr="002565D1" w14:paraId="1BAB6C8A" w14:textId="77777777" w:rsidTr="002565D1">
        <w:trPr>
          <w:trHeight w:val="12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27CF30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565D1">
              <w:rPr>
                <w:rFonts w:eastAsia="Times New Roman" w:cs="Times New Roman"/>
                <w:b/>
                <w:lang w:eastAsia="en-GB"/>
              </w:rPr>
              <w:t>School Type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440F86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565D1">
              <w:rPr>
                <w:rFonts w:eastAsia="Times New Roman" w:cs="Times New Roman"/>
                <w:b/>
                <w:lang w:eastAsia="en-GB"/>
              </w:rPr>
              <w:t>Charging basis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14:paraId="7B144C29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b/>
                <w:color w:val="000000"/>
                <w:lang w:eastAsia="en-GB"/>
              </w:rPr>
              <w:t>Charges for 2019-20 academic year (</w:t>
            </w:r>
            <w:r w:rsidR="001C154D">
              <w:rPr>
                <w:rFonts w:eastAsia="Times New Roman" w:cs="Arial"/>
                <w:b/>
                <w:color w:val="000000"/>
                <w:lang w:eastAsia="en-GB"/>
              </w:rPr>
              <w:t xml:space="preserve">including </w:t>
            </w:r>
            <w:r w:rsidRPr="002565D1">
              <w:rPr>
                <w:rFonts w:eastAsia="Times New Roman" w:cs="Arial"/>
                <w:b/>
                <w:color w:val="000000"/>
                <w:lang w:eastAsia="en-GB"/>
              </w:rPr>
              <w:t>analysis of 2019 results)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14:paraId="54BAC1D8" w14:textId="6416C533" w:rsidR="002565D1" w:rsidRPr="002565D1" w:rsidRDefault="001C154D" w:rsidP="00256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Discounted</w:t>
            </w:r>
            <w:r w:rsidR="002565D1" w:rsidRPr="002565D1">
              <w:rPr>
                <w:rFonts w:eastAsia="Times New Roman" w:cs="Arial"/>
                <w:b/>
                <w:color w:val="000000"/>
                <w:lang w:eastAsia="en-GB"/>
              </w:rPr>
              <w:t xml:space="preserve"> charges for </w:t>
            </w:r>
            <w:r w:rsidR="003B5239">
              <w:rPr>
                <w:rFonts w:eastAsia="Times New Roman" w:cs="Arial"/>
                <w:b/>
                <w:color w:val="000000"/>
                <w:lang w:eastAsia="en-GB"/>
              </w:rPr>
              <w:t>2020 and 2021 results analysis</w:t>
            </w:r>
          </w:p>
        </w:tc>
      </w:tr>
      <w:tr w:rsidR="002565D1" w:rsidRPr="002565D1" w14:paraId="0426F824" w14:textId="77777777" w:rsidTr="002565D1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6FA148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Infant Schools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8B1502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per student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B1BD00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£1.01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AC8995" w14:textId="77777777" w:rsidR="002565D1" w:rsidRPr="002565D1" w:rsidRDefault="009A614F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£0.60</w:t>
            </w:r>
          </w:p>
        </w:tc>
      </w:tr>
      <w:tr w:rsidR="002565D1" w:rsidRPr="002565D1" w14:paraId="6FF90D24" w14:textId="77777777" w:rsidTr="002565D1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0A3CD7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Junior Schools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CCF40D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per student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BB5870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£0.78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3C7FA1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£0.50</w:t>
            </w:r>
          </w:p>
        </w:tc>
      </w:tr>
      <w:tr w:rsidR="002565D1" w:rsidRPr="002565D1" w14:paraId="2BEDF876" w14:textId="77777777" w:rsidTr="002565D1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7A0D1F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Combined Schools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563F98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per student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8D2822E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£1.16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D9285B" w14:textId="77777777" w:rsidR="002565D1" w:rsidRPr="002565D1" w:rsidRDefault="009A614F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£0.70</w:t>
            </w:r>
          </w:p>
        </w:tc>
      </w:tr>
      <w:tr w:rsidR="002565D1" w:rsidRPr="002565D1" w14:paraId="1C540378" w14:textId="77777777" w:rsidTr="002565D1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6192B1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Secondary Schools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45899C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per school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BD026F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£1,125.50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133139" w14:textId="77777777" w:rsidR="002565D1" w:rsidRPr="002565D1" w:rsidRDefault="009A614F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£675</w:t>
            </w:r>
            <w:r w:rsidR="002565D1" w:rsidRPr="002565D1">
              <w:rPr>
                <w:rFonts w:eastAsia="Times New Roman" w:cs="Arial"/>
                <w:color w:val="000000"/>
                <w:lang w:eastAsia="en-GB"/>
              </w:rPr>
              <w:t>.00</w:t>
            </w:r>
          </w:p>
        </w:tc>
      </w:tr>
      <w:tr w:rsidR="002565D1" w:rsidRPr="002565D1" w14:paraId="372DE827" w14:textId="77777777" w:rsidTr="002565D1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15C911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Special Schools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CF6D0B" w14:textId="77777777" w:rsidR="002565D1" w:rsidRPr="002565D1" w:rsidRDefault="002565D1" w:rsidP="002565D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per student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96E6A3" w14:textId="77777777" w:rsidR="002565D1" w:rsidRPr="002565D1" w:rsidRDefault="002565D1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2565D1">
              <w:rPr>
                <w:rFonts w:eastAsia="Times New Roman" w:cs="Arial"/>
                <w:color w:val="000000"/>
                <w:lang w:eastAsia="en-GB"/>
              </w:rPr>
              <w:t>£0.76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1AB210" w14:textId="77777777" w:rsidR="002565D1" w:rsidRPr="002565D1" w:rsidRDefault="009A614F" w:rsidP="00256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£0.4</w:t>
            </w:r>
            <w:r w:rsidR="002565D1" w:rsidRPr="002565D1"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</w:tr>
    </w:tbl>
    <w:p w14:paraId="772FFFEC" w14:textId="77777777" w:rsidR="00214E7C" w:rsidRDefault="00214E7C" w:rsidP="00864E1B">
      <w:pPr>
        <w:spacing w:after="0" w:line="240" w:lineRule="auto"/>
      </w:pPr>
    </w:p>
    <w:p w14:paraId="077A062F" w14:textId="77777777" w:rsidR="00214E7C" w:rsidRDefault="002565D1" w:rsidP="00864E1B">
      <w:pPr>
        <w:spacing w:after="0" w:line="240" w:lineRule="auto"/>
      </w:pPr>
      <w:r>
        <w:t>Prices for academies are exclusive of VAT.</w:t>
      </w:r>
    </w:p>
    <w:p w14:paraId="6F4BFFE1" w14:textId="77777777" w:rsidR="00864E1B" w:rsidRDefault="00864E1B" w:rsidP="00864E1B">
      <w:pPr>
        <w:spacing w:after="0" w:line="240" w:lineRule="auto"/>
      </w:pPr>
    </w:p>
    <w:sectPr w:rsidR="00864E1B" w:rsidSect="00864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73B05"/>
    <w:multiLevelType w:val="hybridMultilevel"/>
    <w:tmpl w:val="DD62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3410"/>
    <w:multiLevelType w:val="hybridMultilevel"/>
    <w:tmpl w:val="EBA8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38"/>
    <w:rsid w:val="0007230A"/>
    <w:rsid w:val="000D2A2D"/>
    <w:rsid w:val="00164199"/>
    <w:rsid w:val="001A3F24"/>
    <w:rsid w:val="001C154D"/>
    <w:rsid w:val="00214E7C"/>
    <w:rsid w:val="00221563"/>
    <w:rsid w:val="002565D1"/>
    <w:rsid w:val="002B79CE"/>
    <w:rsid w:val="003B5239"/>
    <w:rsid w:val="004E4F5F"/>
    <w:rsid w:val="00535243"/>
    <w:rsid w:val="00603E8A"/>
    <w:rsid w:val="00792BCD"/>
    <w:rsid w:val="007D08AA"/>
    <w:rsid w:val="007E140E"/>
    <w:rsid w:val="00861138"/>
    <w:rsid w:val="00864E1B"/>
    <w:rsid w:val="009A614F"/>
    <w:rsid w:val="00A07443"/>
    <w:rsid w:val="00A7765E"/>
    <w:rsid w:val="00C67151"/>
    <w:rsid w:val="00C714DE"/>
    <w:rsid w:val="00CC12C1"/>
    <w:rsid w:val="00D1633F"/>
    <w:rsid w:val="00E460C1"/>
    <w:rsid w:val="00E519C7"/>
    <w:rsid w:val="00EA7683"/>
    <w:rsid w:val="00EC2E4A"/>
    <w:rsid w:val="00F74238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1860"/>
  <w15:chartTrackingRefBased/>
  <w15:docId w15:val="{D9D5F550-E1F2-465D-9499-BF4E365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Sarah</dc:creator>
  <cp:keywords/>
  <dc:description/>
  <cp:lastModifiedBy>Katherine Wells</cp:lastModifiedBy>
  <cp:revision>2</cp:revision>
  <dcterms:created xsi:type="dcterms:W3CDTF">2021-03-10T11:41:00Z</dcterms:created>
  <dcterms:modified xsi:type="dcterms:W3CDTF">2021-03-10T11:41:00Z</dcterms:modified>
</cp:coreProperties>
</file>